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rPr>
          <w:rFonts w:ascii="仿宋_GB2312" w:hAnsi="仿宋" w:eastAsia="仿宋_GB2312" w:cs="Times New Roman"/>
          <w:b/>
          <w:sz w:val="24"/>
          <w:szCs w:val="24"/>
        </w:rPr>
      </w:pPr>
      <w:r>
        <w:rPr>
          <w:rFonts w:ascii="仿宋_GB2312" w:hAnsi="仿宋" w:eastAsia="仿宋_GB2312" w:cs="Times New Roman"/>
          <w:b/>
          <w:sz w:val="24"/>
          <w:szCs w:val="24"/>
        </w:rPr>
        <w:t>附件1  202</w:t>
      </w:r>
      <w:r>
        <w:rPr>
          <w:rFonts w:hint="eastAsia" w:ascii="仿宋_GB2312" w:hAnsi="仿宋" w:eastAsia="仿宋_GB2312" w:cs="Times New Roman"/>
          <w:b/>
          <w:sz w:val="24"/>
          <w:szCs w:val="24"/>
          <w:lang w:val="en-US" w:eastAsia="zh-CN"/>
        </w:rPr>
        <w:t>3</w:t>
      </w:r>
      <w:r>
        <w:rPr>
          <w:rFonts w:ascii="仿宋_GB2312" w:hAnsi="仿宋" w:eastAsia="仿宋_GB2312" w:cs="Times New Roman"/>
          <w:b/>
          <w:sz w:val="24"/>
          <w:szCs w:val="24"/>
        </w:rPr>
        <w:t>年</w:t>
      </w:r>
      <w:r>
        <w:rPr>
          <w:rFonts w:hint="eastAsia" w:ascii="仿宋_GB2312" w:hAnsi="仿宋" w:eastAsia="仿宋_GB2312" w:cs="Times New Roman"/>
          <w:b/>
          <w:sz w:val="24"/>
          <w:szCs w:val="24"/>
        </w:rPr>
        <w:t>汽车标准化</w:t>
      </w:r>
      <w:r>
        <w:rPr>
          <w:rFonts w:ascii="仿宋_GB2312" w:hAnsi="仿宋" w:eastAsia="仿宋_GB2312" w:cs="Times New Roman"/>
          <w:b/>
          <w:sz w:val="24"/>
          <w:szCs w:val="24"/>
        </w:rPr>
        <w:t>公益性开放课题申请列表</w:t>
      </w:r>
    </w:p>
    <w:tbl>
      <w:tblPr>
        <w:tblStyle w:val="7"/>
        <w:tblW w:w="54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
        <w:gridCol w:w="942"/>
        <w:gridCol w:w="2104"/>
        <w:gridCol w:w="5744"/>
        <w:gridCol w:w="5066"/>
        <w:gridCol w:w="10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blHeader/>
          <w:jc w:val="center"/>
        </w:trPr>
        <w:tc>
          <w:tcPr>
            <w:tcW w:w="131" w:type="pct"/>
            <w:shd w:val="clear" w:color="auto" w:fill="auto"/>
            <w:vAlign w:val="center"/>
          </w:tcPr>
          <w:p>
            <w:pPr>
              <w:jc w:val="center"/>
              <w:rPr>
                <w:rFonts w:ascii="Times New Roman" w:hAnsi="Times New Roman" w:cs="Times New Roman"/>
                <w:b/>
                <w:bCs/>
                <w:sz w:val="24"/>
                <w:szCs w:val="24"/>
              </w:rPr>
            </w:pPr>
            <w:r>
              <w:rPr>
                <w:rFonts w:ascii="Times New Roman" w:hAnsi="Times New Roman" w:cs="Times New Roman"/>
                <w:b/>
                <w:bCs/>
                <w:sz w:val="24"/>
                <w:szCs w:val="24"/>
              </w:rPr>
              <w:t>序号</w:t>
            </w:r>
          </w:p>
        </w:tc>
        <w:tc>
          <w:tcPr>
            <w:tcW w:w="307" w:type="pct"/>
            <w:vAlign w:val="center"/>
          </w:tcPr>
          <w:p>
            <w:pPr>
              <w:jc w:val="center"/>
              <w:rPr>
                <w:rFonts w:ascii="Times New Roman" w:hAnsi="Times New Roman" w:cs="Times New Roman"/>
                <w:b/>
                <w:bCs/>
                <w:sz w:val="24"/>
                <w:szCs w:val="24"/>
              </w:rPr>
            </w:pPr>
            <w:r>
              <w:rPr>
                <w:rFonts w:ascii="Times New Roman" w:hAnsi="Times New Roman" w:cs="Times New Roman"/>
                <w:b/>
                <w:bCs/>
                <w:sz w:val="24"/>
                <w:szCs w:val="24"/>
              </w:rPr>
              <w:t>领域</w:t>
            </w:r>
          </w:p>
        </w:tc>
        <w:tc>
          <w:tcPr>
            <w:tcW w:w="685" w:type="pct"/>
            <w:shd w:val="clear" w:color="auto" w:fill="auto"/>
            <w:vAlign w:val="center"/>
          </w:tcPr>
          <w:p>
            <w:pPr>
              <w:jc w:val="center"/>
              <w:rPr>
                <w:rFonts w:ascii="Times New Roman" w:hAnsi="Times New Roman" w:cs="Times New Roman"/>
                <w:b/>
                <w:bCs/>
                <w:sz w:val="24"/>
                <w:szCs w:val="24"/>
              </w:rPr>
            </w:pPr>
            <w:r>
              <w:rPr>
                <w:rFonts w:ascii="Times New Roman" w:hAnsi="Times New Roman" w:cs="Times New Roman"/>
                <w:b/>
                <w:bCs/>
                <w:sz w:val="24"/>
                <w:szCs w:val="24"/>
              </w:rPr>
              <w:t>课题名称</w:t>
            </w:r>
          </w:p>
        </w:tc>
        <w:tc>
          <w:tcPr>
            <w:tcW w:w="1871" w:type="pct"/>
            <w:shd w:val="clear" w:color="auto" w:fill="auto"/>
            <w:vAlign w:val="center"/>
          </w:tcPr>
          <w:p>
            <w:pPr>
              <w:jc w:val="center"/>
              <w:rPr>
                <w:rFonts w:ascii="Times New Roman" w:hAnsi="Times New Roman" w:cs="Times New Roman"/>
                <w:b/>
                <w:bCs/>
                <w:sz w:val="24"/>
                <w:szCs w:val="24"/>
              </w:rPr>
            </w:pPr>
            <w:r>
              <w:rPr>
                <w:rFonts w:ascii="Times New Roman" w:hAnsi="Times New Roman" w:cs="Times New Roman"/>
                <w:b/>
                <w:bCs/>
                <w:sz w:val="24"/>
                <w:szCs w:val="24"/>
              </w:rPr>
              <w:t>研究目标</w:t>
            </w:r>
          </w:p>
        </w:tc>
        <w:tc>
          <w:tcPr>
            <w:tcW w:w="1651" w:type="pct"/>
            <w:shd w:val="clear" w:color="auto" w:fill="auto"/>
            <w:vAlign w:val="center"/>
          </w:tcPr>
          <w:p>
            <w:pPr>
              <w:jc w:val="center"/>
              <w:rPr>
                <w:rFonts w:ascii="Times New Roman" w:hAnsi="Times New Roman" w:cs="Times New Roman"/>
                <w:b/>
                <w:bCs/>
                <w:sz w:val="24"/>
                <w:szCs w:val="24"/>
              </w:rPr>
            </w:pPr>
            <w:r>
              <w:rPr>
                <w:rFonts w:ascii="Times New Roman" w:hAnsi="Times New Roman" w:cs="Times New Roman"/>
                <w:b/>
                <w:bCs/>
                <w:sz w:val="24"/>
                <w:szCs w:val="24"/>
              </w:rPr>
              <w:t>考核指标</w:t>
            </w:r>
          </w:p>
        </w:tc>
        <w:tc>
          <w:tcPr>
            <w:tcW w:w="352" w:type="pct"/>
            <w:shd w:val="clear" w:color="auto" w:fill="auto"/>
            <w:vAlign w:val="center"/>
          </w:tcPr>
          <w:p>
            <w:pPr>
              <w:jc w:val="center"/>
              <w:rPr>
                <w:rFonts w:ascii="Times New Roman" w:hAnsi="Times New Roman" w:cs="Times New Roman"/>
                <w:b/>
                <w:bCs/>
                <w:sz w:val="24"/>
                <w:szCs w:val="24"/>
              </w:rPr>
            </w:pPr>
            <w:r>
              <w:rPr>
                <w:rFonts w:ascii="Times New Roman" w:hAnsi="Times New Roman" w:cs="Times New Roman"/>
                <w:b/>
                <w:bCs/>
                <w:sz w:val="24"/>
                <w:szCs w:val="24"/>
              </w:rPr>
              <w:t>金额</w:t>
            </w:r>
          </w:p>
          <w:p>
            <w:pPr>
              <w:jc w:val="center"/>
              <w:rPr>
                <w:rFonts w:ascii="Times New Roman" w:hAnsi="Times New Roman" w:cs="Times New Roman"/>
                <w:b/>
                <w:bCs/>
                <w:sz w:val="24"/>
                <w:szCs w:val="24"/>
              </w:rPr>
            </w:pPr>
            <w:r>
              <w:rPr>
                <w:rFonts w:hint="eastAsia" w:ascii="Times New Roman" w:hAnsi="Times New Roman" w:cs="Times New Roman"/>
                <w:b/>
                <w:bCs/>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 w:type="pct"/>
            <w:shd w:val="clear" w:color="auto" w:fill="auto"/>
            <w:vAlign w:val="center"/>
          </w:tcPr>
          <w:p>
            <w:pPr>
              <w:pStyle w:val="13"/>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jc w:val="both"/>
              <w:textAlignment w:val="auto"/>
              <w:rPr>
                <w:rFonts w:ascii="Times New Roman" w:hAnsi="Times New Roman" w:cs="Times New Roman"/>
                <w:sz w:val="24"/>
                <w:szCs w:val="24"/>
              </w:rPr>
            </w:pPr>
          </w:p>
        </w:tc>
        <w:tc>
          <w:tcPr>
            <w:tcW w:w="307" w:type="pct"/>
            <w:vAlign w:val="center"/>
          </w:tcPr>
          <w:p>
            <w:pPr>
              <w:keepNext w:val="0"/>
              <w:keepLines w:val="0"/>
              <w:widowControl/>
              <w:suppressLineNumbers w:val="0"/>
              <w:jc w:val="left"/>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智能网联汽车</w:t>
            </w:r>
          </w:p>
        </w:tc>
        <w:tc>
          <w:tcPr>
            <w:tcW w:w="685"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智能网联汽车网络安全入侵检测关键技术研究</w:t>
            </w:r>
          </w:p>
        </w:tc>
        <w:tc>
          <w:tcPr>
            <w:tcW w:w="1871"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聚焦智能网联汽车网络空间安全，研究针对多类车联网通信协议且能覆盖常见汽车网络攻击与新型、未知攻击的入侵检测方法，基于网络流量提取关键特征，研究结合规则与智能学习的轻量级、高实时性、低误报率的入侵检测关键方法，突破可持续优化的汽车网络入侵检测技术。通过本项目的实施，有望实现在智能网联汽车车端部署满足海量数据检测需求的轻量级入侵检测技术，并实现入侵检测系统的假阳性率的降低以及对未知和新型攻击的检测适配，突破目前入侵检测系统在实车应用中出现的瓶颈，保证智能网联汽车包括无人驾驶在内的新型功能能够安全可靠地落地和应用。</w:t>
            </w:r>
          </w:p>
        </w:tc>
        <w:tc>
          <w:tcPr>
            <w:tcW w:w="1651" w:type="pct"/>
            <w:shd w:val="clear" w:color="auto" w:fill="auto"/>
            <w:vAlign w:val="center"/>
          </w:tcPr>
          <w:p>
            <w:pPr>
              <w:keepNext w:val="0"/>
              <w:keepLines w:val="0"/>
              <w:widowControl/>
              <w:numPr>
                <w:ilvl w:val="0"/>
                <w:numId w:val="2"/>
              </w:numPr>
              <w:suppressLineNumbers w:val="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智能网联汽车网络安全入侵检测关键技术研究报告1份，内容至少包含：</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a) 现有智能网联汽车网络入侵检测方法的调研；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b) 基于规则和智能学习算法结合的智能网联汽车网络入侵检测及优化方法原理；</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c) 模型大小及复杂度分析；模型对已知攻击、新型攻击与未知攻击检测效果及实时性对比。</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提出相关标准制修订建议。</w:t>
            </w:r>
          </w:p>
          <w:p>
            <w:pPr>
              <w:keepNext w:val="0"/>
              <w:keepLines w:val="0"/>
              <w:widowControl/>
              <w:numPr>
                <w:numId w:val="0"/>
              </w:numPr>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3. 论文：基于持续学习的智能网联汽车网络入侵检测及优化方法相关论文1篇（《中国汽车》或其他核心、EI/SCI）</w:t>
            </w:r>
          </w:p>
        </w:tc>
        <w:tc>
          <w:tcPr>
            <w:tcW w:w="352" w:type="pct"/>
            <w:shd w:val="clear" w:color="auto" w:fill="auto"/>
            <w:vAlign w:val="center"/>
          </w:tcPr>
          <w:p>
            <w:pPr>
              <w:keepNext w:val="0"/>
              <w:keepLines w:val="0"/>
              <w:widowControl/>
              <w:suppressLineNumbers w:val="0"/>
              <w:jc w:val="center"/>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 w:type="pct"/>
            <w:shd w:val="clear" w:color="auto" w:fill="auto"/>
            <w:vAlign w:val="center"/>
          </w:tcPr>
          <w:p>
            <w:pPr>
              <w:pStyle w:val="13"/>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jc w:val="both"/>
              <w:textAlignment w:val="auto"/>
              <w:rPr>
                <w:rFonts w:ascii="Times New Roman" w:hAnsi="Times New Roman" w:cs="Times New Roman"/>
                <w:sz w:val="24"/>
                <w:szCs w:val="24"/>
              </w:rPr>
            </w:pPr>
          </w:p>
        </w:tc>
        <w:tc>
          <w:tcPr>
            <w:tcW w:w="307" w:type="pct"/>
            <w:vAlign w:val="center"/>
          </w:tcPr>
          <w:p>
            <w:pPr>
              <w:keepNext w:val="0"/>
              <w:keepLines w:val="0"/>
              <w:widowControl/>
              <w:suppressLineNumbers w:val="0"/>
              <w:jc w:val="left"/>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智能网联汽车</w:t>
            </w:r>
          </w:p>
        </w:tc>
        <w:tc>
          <w:tcPr>
            <w:tcW w:w="685"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个人信息匿名化标准图像技术研究</w:t>
            </w:r>
          </w:p>
        </w:tc>
        <w:tc>
          <w:tcPr>
            <w:tcW w:w="1871"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开展个人信息匿名化标准图像技术研究，对匿名化的专业术语、范围界定、采集场景、标准面部图像、标准车牌图像等方面制定标准，形成科学、规范的匿名化技术试验方法，有助于数据安全和个人信息保护法规的实施，促进智能网联汽车图像匿名化相关标准的顺利实施。</w:t>
            </w:r>
          </w:p>
        </w:tc>
        <w:tc>
          <w:tcPr>
            <w:tcW w:w="1651"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1. 完成</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份个人信息匿名化图像技术及标准化研究的行业报告，包括但不限于：</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a</w:t>
            </w:r>
            <w:r>
              <w:rPr>
                <w:rFonts w:hint="eastAsia" w:ascii="宋体" w:hAnsi="宋体" w:eastAsia="宋体" w:cs="宋体"/>
                <w:i w:val="0"/>
                <w:iCs w:val="0"/>
                <w:color w:val="000000"/>
                <w:kern w:val="0"/>
                <w:sz w:val="24"/>
                <w:szCs w:val="24"/>
                <w:u w:val="none"/>
                <w:lang w:val="en-US" w:eastAsia="zh-CN" w:bidi="ar"/>
              </w:rPr>
              <w:t>）汽车数据匿名化技术研究，基于相关法规要求研究当前汽车数据匿名化的范围，标准的人脸及车牌图像指标，典型的匿名化采集场景等；</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b</w:t>
            </w:r>
            <w:r>
              <w:rPr>
                <w:rFonts w:hint="eastAsia" w:ascii="宋体" w:hAnsi="宋体" w:eastAsia="宋体" w:cs="宋体"/>
                <w:i w:val="0"/>
                <w:iCs w:val="0"/>
                <w:color w:val="000000"/>
                <w:kern w:val="0"/>
                <w:sz w:val="24"/>
                <w:szCs w:val="24"/>
                <w:u w:val="none"/>
                <w:lang w:val="en-US" w:eastAsia="zh-CN" w:bidi="ar"/>
              </w:rPr>
              <w:t>）研究匿名化测试的典型场景及不同场景对匿名化识别准确率的影响</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c</w:t>
            </w:r>
            <w:r>
              <w:rPr>
                <w:rFonts w:hint="eastAsia" w:ascii="宋体" w:hAnsi="宋体" w:eastAsia="宋体" w:cs="宋体"/>
                <w:i w:val="0"/>
                <w:iCs w:val="0"/>
                <w:color w:val="000000"/>
                <w:kern w:val="0"/>
                <w:sz w:val="24"/>
                <w:szCs w:val="24"/>
                <w:u w:val="none"/>
                <w:lang w:val="en-US" w:eastAsia="zh-CN" w:bidi="ar"/>
              </w:rPr>
              <w:t>）研究匿名化标注人员能力测试数据集及对应图像要求；</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d</w:t>
            </w:r>
            <w:r>
              <w:rPr>
                <w:rFonts w:hint="eastAsia" w:ascii="宋体" w:hAnsi="宋体" w:eastAsia="宋体" w:cs="宋体"/>
                <w:i w:val="0"/>
                <w:iCs w:val="0"/>
                <w:color w:val="000000"/>
                <w:kern w:val="0"/>
                <w:sz w:val="24"/>
                <w:szCs w:val="24"/>
                <w:u w:val="none"/>
                <w:lang w:val="en-US" w:eastAsia="zh-CN" w:bidi="ar"/>
              </w:rPr>
              <w:t>）研究技术路线的匿名化效果及检测方式。</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2. </w:t>
            </w:r>
            <w:r>
              <w:rPr>
                <w:rFonts w:hint="eastAsia" w:ascii="宋体" w:hAnsi="宋体" w:eastAsia="宋体" w:cs="宋体"/>
                <w:i w:val="0"/>
                <w:iCs w:val="0"/>
                <w:color w:val="000000"/>
                <w:kern w:val="0"/>
                <w:sz w:val="24"/>
                <w:szCs w:val="24"/>
                <w:u w:val="none"/>
                <w:lang w:val="en-US" w:eastAsia="zh-CN" w:bidi="ar"/>
              </w:rPr>
              <w:t>在《中国汽车》期刊上发表</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篇论文。</w:t>
            </w:r>
          </w:p>
        </w:tc>
        <w:tc>
          <w:tcPr>
            <w:tcW w:w="352" w:type="pct"/>
            <w:shd w:val="clear" w:color="auto" w:fill="auto"/>
            <w:vAlign w:val="center"/>
          </w:tcPr>
          <w:p>
            <w:pPr>
              <w:keepNext w:val="0"/>
              <w:keepLines w:val="0"/>
              <w:widowControl/>
              <w:suppressLineNumbers w:val="0"/>
              <w:jc w:val="center"/>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 w:type="pct"/>
            <w:shd w:val="clear" w:color="auto" w:fill="auto"/>
            <w:vAlign w:val="center"/>
          </w:tcPr>
          <w:p>
            <w:pPr>
              <w:pStyle w:val="13"/>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jc w:val="both"/>
              <w:textAlignment w:val="auto"/>
              <w:rPr>
                <w:rFonts w:ascii="Times New Roman" w:hAnsi="Times New Roman" w:cs="Times New Roman"/>
                <w:sz w:val="24"/>
                <w:szCs w:val="24"/>
              </w:rPr>
            </w:pPr>
          </w:p>
        </w:tc>
        <w:tc>
          <w:tcPr>
            <w:tcW w:w="307" w:type="pct"/>
            <w:vAlign w:val="center"/>
          </w:tcPr>
          <w:p>
            <w:pPr>
              <w:keepNext w:val="0"/>
              <w:keepLines w:val="0"/>
              <w:widowControl/>
              <w:suppressLineNumbers w:val="0"/>
              <w:jc w:val="left"/>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智能网联汽车</w:t>
            </w:r>
          </w:p>
        </w:tc>
        <w:tc>
          <w:tcPr>
            <w:tcW w:w="685"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面向智能驾驶及智能座舱功能的汽车人机交互界面HMI安全评价研究</w:t>
            </w:r>
          </w:p>
        </w:tc>
        <w:tc>
          <w:tcPr>
            <w:tcW w:w="1871"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高阶辅助驾驶系统</w:t>
            </w:r>
            <w:r>
              <w:rPr>
                <w:rFonts w:hint="default" w:ascii="Times New Roman" w:hAnsi="Times New Roman" w:eastAsia="宋体" w:cs="Times New Roman"/>
                <w:i w:val="0"/>
                <w:iCs w:val="0"/>
                <w:color w:val="000000"/>
                <w:kern w:val="0"/>
                <w:sz w:val="24"/>
                <w:szCs w:val="24"/>
                <w:u w:val="none"/>
                <w:lang w:val="en-US" w:eastAsia="zh-CN" w:bidi="ar"/>
              </w:rPr>
              <w:t xml:space="preserve">HMI </w:t>
            </w:r>
            <w:r>
              <w:rPr>
                <w:rFonts w:hint="eastAsia" w:ascii="宋体" w:hAnsi="宋体" w:eastAsia="宋体" w:cs="宋体"/>
                <w:i w:val="0"/>
                <w:iCs w:val="0"/>
                <w:color w:val="000000"/>
                <w:kern w:val="0"/>
                <w:sz w:val="24"/>
                <w:szCs w:val="24"/>
                <w:u w:val="none"/>
                <w:lang w:val="en-US" w:eastAsia="zh-CN" w:bidi="ar"/>
              </w:rPr>
              <w:t>作为高阶</w:t>
            </w:r>
            <w:r>
              <w:rPr>
                <w:rFonts w:hint="default" w:ascii="Times New Roman" w:hAnsi="Times New Roman" w:eastAsia="宋体" w:cs="Times New Roman"/>
                <w:i w:val="0"/>
                <w:iCs w:val="0"/>
                <w:color w:val="000000"/>
                <w:kern w:val="0"/>
                <w:sz w:val="24"/>
                <w:szCs w:val="24"/>
                <w:u w:val="none"/>
                <w:lang w:val="en-US" w:eastAsia="zh-CN" w:bidi="ar"/>
              </w:rPr>
              <w:t>AD</w:t>
            </w:r>
            <w:r>
              <w:rPr>
                <w:rFonts w:hint="eastAsia" w:ascii="宋体" w:hAnsi="宋体" w:eastAsia="宋体" w:cs="宋体"/>
                <w:i w:val="0"/>
                <w:iCs w:val="0"/>
                <w:color w:val="000000"/>
                <w:kern w:val="0"/>
                <w:sz w:val="24"/>
                <w:szCs w:val="24"/>
                <w:u w:val="none"/>
                <w:lang w:val="en-US" w:eastAsia="zh-CN" w:bidi="ar"/>
              </w:rPr>
              <w:t>系统的一个重要组成部分，与用户息息相关，简单易懂的</w:t>
            </w:r>
            <w:r>
              <w:rPr>
                <w:rFonts w:hint="default" w:ascii="Times New Roman" w:hAnsi="Times New Roman" w:eastAsia="宋体" w:cs="Times New Roman"/>
                <w:i w:val="0"/>
                <w:iCs w:val="0"/>
                <w:color w:val="000000"/>
                <w:kern w:val="0"/>
                <w:sz w:val="24"/>
                <w:szCs w:val="24"/>
                <w:u w:val="none"/>
                <w:lang w:val="en-US" w:eastAsia="zh-CN" w:bidi="ar"/>
              </w:rPr>
              <w:t>HMI</w:t>
            </w:r>
            <w:r>
              <w:rPr>
                <w:rFonts w:hint="eastAsia" w:ascii="宋体" w:hAnsi="宋体" w:eastAsia="宋体" w:cs="宋体"/>
                <w:i w:val="0"/>
                <w:iCs w:val="0"/>
                <w:color w:val="000000"/>
                <w:kern w:val="0"/>
                <w:sz w:val="24"/>
                <w:szCs w:val="24"/>
                <w:u w:val="none"/>
                <w:lang w:val="en-US" w:eastAsia="zh-CN" w:bidi="ar"/>
              </w:rPr>
              <w:t>有利于用户理解，降低学习成本，同事有助于提升高阶</w:t>
            </w:r>
            <w:r>
              <w:rPr>
                <w:rFonts w:hint="default" w:ascii="Times New Roman" w:hAnsi="Times New Roman" w:eastAsia="宋体" w:cs="Times New Roman"/>
                <w:i w:val="0"/>
                <w:iCs w:val="0"/>
                <w:color w:val="000000"/>
                <w:kern w:val="0"/>
                <w:sz w:val="24"/>
                <w:szCs w:val="24"/>
                <w:u w:val="none"/>
                <w:lang w:val="en-US" w:eastAsia="zh-CN" w:bidi="ar"/>
              </w:rPr>
              <w:t>AD</w:t>
            </w:r>
            <w:r>
              <w:rPr>
                <w:rFonts w:hint="eastAsia" w:ascii="宋体" w:hAnsi="宋体" w:eastAsia="宋体" w:cs="宋体"/>
                <w:i w:val="0"/>
                <w:iCs w:val="0"/>
                <w:color w:val="000000"/>
                <w:kern w:val="0"/>
                <w:sz w:val="24"/>
                <w:szCs w:val="24"/>
                <w:u w:val="none"/>
                <w:lang w:val="en-US" w:eastAsia="zh-CN" w:bidi="ar"/>
              </w:rPr>
              <w:t>系统使用过程的安全性。本研究将重点研究以下内容：</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）高阶辅助驾驶系统</w:t>
            </w:r>
            <w:r>
              <w:rPr>
                <w:rFonts w:hint="default" w:ascii="Times New Roman" w:hAnsi="Times New Roman" w:eastAsia="宋体" w:cs="Times New Roman"/>
                <w:i w:val="0"/>
                <w:iCs w:val="0"/>
                <w:color w:val="000000"/>
                <w:kern w:val="0"/>
                <w:sz w:val="24"/>
                <w:szCs w:val="24"/>
                <w:u w:val="none"/>
                <w:lang w:val="en-US" w:eastAsia="zh-CN" w:bidi="ar"/>
              </w:rPr>
              <w:t>HMI</w:t>
            </w:r>
            <w:r>
              <w:rPr>
                <w:rFonts w:hint="eastAsia" w:ascii="宋体" w:hAnsi="宋体" w:eastAsia="宋体" w:cs="宋体"/>
                <w:i w:val="0"/>
                <w:iCs w:val="0"/>
                <w:color w:val="000000"/>
                <w:kern w:val="0"/>
                <w:sz w:val="24"/>
                <w:szCs w:val="24"/>
                <w:u w:val="none"/>
                <w:lang w:val="en-US" w:eastAsia="zh-CN" w:bidi="ar"/>
              </w:rPr>
              <w:t>的基础要素要求及集合；</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）高阶辅助驾驶系统</w:t>
            </w:r>
            <w:r>
              <w:rPr>
                <w:rFonts w:hint="default" w:ascii="Times New Roman" w:hAnsi="Times New Roman" w:eastAsia="宋体" w:cs="Times New Roman"/>
                <w:i w:val="0"/>
                <w:iCs w:val="0"/>
                <w:color w:val="000000"/>
                <w:kern w:val="0"/>
                <w:sz w:val="24"/>
                <w:szCs w:val="24"/>
                <w:u w:val="none"/>
                <w:lang w:val="en-US" w:eastAsia="zh-CN" w:bidi="ar"/>
              </w:rPr>
              <w:t>HMI</w:t>
            </w:r>
            <w:r>
              <w:rPr>
                <w:rFonts w:hint="eastAsia" w:ascii="宋体" w:hAnsi="宋体" w:eastAsia="宋体" w:cs="宋体"/>
                <w:i w:val="0"/>
                <w:iCs w:val="0"/>
                <w:color w:val="000000"/>
                <w:kern w:val="0"/>
                <w:sz w:val="24"/>
                <w:szCs w:val="24"/>
                <w:u w:val="none"/>
                <w:lang w:val="en-US" w:eastAsia="zh-CN" w:bidi="ar"/>
              </w:rPr>
              <w:t>的基础要素的具体形式。</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希望通过该研究统一高阶辅助驾驶系统</w:t>
            </w:r>
            <w:r>
              <w:rPr>
                <w:rFonts w:hint="default" w:ascii="Times New Roman" w:hAnsi="Times New Roman" w:eastAsia="宋体" w:cs="Times New Roman"/>
                <w:i w:val="0"/>
                <w:iCs w:val="0"/>
                <w:color w:val="000000"/>
                <w:kern w:val="0"/>
                <w:sz w:val="24"/>
                <w:szCs w:val="24"/>
                <w:u w:val="none"/>
                <w:lang w:val="en-US" w:eastAsia="zh-CN" w:bidi="ar"/>
              </w:rPr>
              <w:t>HMI</w:t>
            </w:r>
            <w:r>
              <w:rPr>
                <w:rFonts w:hint="eastAsia" w:ascii="宋体" w:hAnsi="宋体" w:eastAsia="宋体" w:cs="宋体"/>
                <w:i w:val="0"/>
                <w:iCs w:val="0"/>
                <w:color w:val="000000"/>
                <w:kern w:val="0"/>
                <w:sz w:val="24"/>
                <w:szCs w:val="24"/>
                <w:u w:val="none"/>
                <w:lang w:val="en-US" w:eastAsia="zh-CN" w:bidi="ar"/>
              </w:rPr>
              <w:t>的基础要素要求及集合，降低用户定对高阶辅助驾驶系统</w:t>
            </w:r>
            <w:r>
              <w:rPr>
                <w:rFonts w:hint="default" w:ascii="Times New Roman" w:hAnsi="Times New Roman" w:eastAsia="宋体" w:cs="Times New Roman"/>
                <w:i w:val="0"/>
                <w:iCs w:val="0"/>
                <w:color w:val="000000"/>
                <w:kern w:val="0"/>
                <w:sz w:val="24"/>
                <w:szCs w:val="24"/>
                <w:u w:val="none"/>
                <w:lang w:val="en-US" w:eastAsia="zh-CN" w:bidi="ar"/>
              </w:rPr>
              <w:t>HMI</w:t>
            </w:r>
            <w:r>
              <w:rPr>
                <w:rFonts w:hint="eastAsia" w:ascii="宋体" w:hAnsi="宋体" w:eastAsia="宋体" w:cs="宋体"/>
                <w:i w:val="0"/>
                <w:iCs w:val="0"/>
                <w:color w:val="000000"/>
                <w:kern w:val="0"/>
                <w:sz w:val="24"/>
                <w:szCs w:val="24"/>
                <w:u w:val="none"/>
                <w:lang w:val="en-US" w:eastAsia="zh-CN" w:bidi="ar"/>
              </w:rPr>
              <w:t>的理解难度，弥补当前国内法规在这一领域的空缺。</w:t>
            </w:r>
          </w:p>
        </w:tc>
        <w:tc>
          <w:tcPr>
            <w:tcW w:w="1651"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1. 完成面向智能驾驶及智能座舱功能的汽车人机交互安全评价研究报告，包括但不限于：</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a</w:t>
            </w:r>
            <w:r>
              <w:rPr>
                <w:rFonts w:hint="eastAsia" w:ascii="宋体" w:hAnsi="宋体" w:eastAsia="宋体" w:cs="宋体"/>
                <w:i w:val="0"/>
                <w:iCs w:val="0"/>
                <w:color w:val="000000"/>
                <w:kern w:val="0"/>
                <w:sz w:val="24"/>
                <w:szCs w:val="24"/>
                <w:u w:val="none"/>
                <w:lang w:val="en-US" w:eastAsia="zh-CN" w:bidi="ar"/>
              </w:rPr>
              <w:t>）智能驾驶人机交互典型场景及安全要求梳理</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b</w:t>
            </w:r>
            <w:r>
              <w:rPr>
                <w:rFonts w:hint="eastAsia" w:ascii="宋体" w:hAnsi="宋体" w:eastAsia="宋体" w:cs="宋体"/>
                <w:i w:val="0"/>
                <w:iCs w:val="0"/>
                <w:color w:val="000000"/>
                <w:kern w:val="0"/>
                <w:sz w:val="24"/>
                <w:szCs w:val="24"/>
                <w:u w:val="none"/>
                <w:lang w:val="en-US" w:eastAsia="zh-CN" w:bidi="ar"/>
              </w:rPr>
              <w:t>）智能座舱典型交互场景及对驾驶安全影响研究</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c</w:t>
            </w:r>
            <w:r>
              <w:rPr>
                <w:rFonts w:hint="eastAsia" w:ascii="宋体" w:hAnsi="宋体" w:eastAsia="宋体" w:cs="宋体"/>
                <w:i w:val="0"/>
                <w:iCs w:val="0"/>
                <w:color w:val="000000"/>
                <w:kern w:val="0"/>
                <w:sz w:val="24"/>
                <w:szCs w:val="24"/>
                <w:u w:val="none"/>
                <w:lang w:val="en-US" w:eastAsia="zh-CN" w:bidi="ar"/>
              </w:rPr>
              <w:t>）驾驶辅助及自动驾驶信号提示形式、优先级研究等。</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2. </w:t>
            </w:r>
            <w:r>
              <w:rPr>
                <w:rFonts w:hint="eastAsia" w:ascii="宋体" w:hAnsi="宋体" w:eastAsia="宋体" w:cs="宋体"/>
                <w:i w:val="0"/>
                <w:iCs w:val="0"/>
                <w:color w:val="000000"/>
                <w:kern w:val="0"/>
                <w:sz w:val="24"/>
                <w:szCs w:val="24"/>
                <w:u w:val="none"/>
                <w:lang w:val="en-US" w:eastAsia="zh-CN" w:bidi="ar"/>
              </w:rPr>
              <w:t>在《中国汽车》期刊上发表</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篇论文。</w:t>
            </w:r>
          </w:p>
        </w:tc>
        <w:tc>
          <w:tcPr>
            <w:tcW w:w="352" w:type="pct"/>
            <w:shd w:val="clear" w:color="auto" w:fill="auto"/>
            <w:vAlign w:val="center"/>
          </w:tcPr>
          <w:p>
            <w:pPr>
              <w:keepNext w:val="0"/>
              <w:keepLines w:val="0"/>
              <w:widowControl/>
              <w:suppressLineNumbers w:val="0"/>
              <w:jc w:val="center"/>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 w:type="pct"/>
            <w:shd w:val="clear" w:color="auto" w:fill="auto"/>
            <w:vAlign w:val="center"/>
          </w:tcPr>
          <w:p>
            <w:pPr>
              <w:pStyle w:val="13"/>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jc w:val="both"/>
              <w:textAlignment w:val="auto"/>
              <w:rPr>
                <w:rFonts w:ascii="Times New Roman" w:hAnsi="Times New Roman" w:cs="Times New Roman"/>
                <w:sz w:val="24"/>
                <w:szCs w:val="24"/>
              </w:rPr>
            </w:pPr>
          </w:p>
        </w:tc>
        <w:tc>
          <w:tcPr>
            <w:tcW w:w="307" w:type="pct"/>
            <w:vAlign w:val="center"/>
          </w:tcPr>
          <w:p>
            <w:pPr>
              <w:keepNext w:val="0"/>
              <w:keepLines w:val="0"/>
              <w:widowControl/>
              <w:suppressLineNumbers w:val="0"/>
              <w:jc w:val="left"/>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智能网联汽车</w:t>
            </w:r>
          </w:p>
        </w:tc>
        <w:tc>
          <w:tcPr>
            <w:tcW w:w="685"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面向智能网联汽车的成熟驾驶员转向模型及标准化研究</w:t>
            </w:r>
          </w:p>
        </w:tc>
        <w:tc>
          <w:tcPr>
            <w:tcW w:w="1871"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为保证具备换道辅助或自主换道功能的车辆能够安全稳定的在真实道路环境下行驶，对该功能进行标准化研究，明确其基本安全相关功能与性能要求。根据正风险平衡的观念，对于智能网联汽车而言，无论是强制换道还是自主换道，人类成熟驾驶员换道模型都将是开发、测试、检验、评价等环节中的重要参考。</w:t>
            </w:r>
            <w:r>
              <w:rPr>
                <w:rFonts w:ascii="Arial" w:hAnsi="Arial" w:eastAsia="宋体" w:cs="Arial"/>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根据不同等级智能网联汽车功能及对应的运行设计域，基于多源数据（包括自然驾驶数据、封闭场地测试数据和虚拟仿真数据）准确刻画交通场景和具体换道行为，针对性地提取场景和行为数据并做相关性分析，确定符合中国实际的换道模型及参数范围。</w:t>
            </w:r>
            <w:r>
              <w:rPr>
                <w:rFonts w:ascii="Arial" w:hAnsi="Arial" w:eastAsia="宋体" w:cs="Arial"/>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面对智能网联汽车快速增长势头，鉴于对换道模型标准的迫切需求，本项目致力于构建全面细致且具有中国特色的成熟驾驶员模型并进行标准化研究，可作为未来产品规划的重要指导，有效满足产业发展和管理需求，完善中国智能网联汽车标准体系建设。</w:t>
            </w:r>
          </w:p>
        </w:tc>
        <w:tc>
          <w:tcPr>
            <w:tcW w:w="1651"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1. 完成基于虚拟现实的高级别自动驾驶接管认知负荷与接管能力交互性分析报告，包括但不限于：</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a</w:t>
            </w:r>
            <w:r>
              <w:rPr>
                <w:rFonts w:hint="eastAsia" w:ascii="宋体" w:hAnsi="宋体" w:eastAsia="宋体" w:cs="宋体"/>
                <w:i w:val="0"/>
                <w:iCs w:val="0"/>
                <w:color w:val="000000"/>
                <w:kern w:val="0"/>
                <w:sz w:val="24"/>
                <w:szCs w:val="24"/>
                <w:u w:val="none"/>
                <w:lang w:val="en-US" w:eastAsia="zh-CN" w:bidi="ar"/>
              </w:rPr>
              <w:t>）研究基于虚拟现实的NDRT任务设计与定量复杂度分析</w:t>
            </w:r>
            <w:r>
              <w:rPr>
                <w:rFonts w:hint="default" w:ascii="Times New Roman" w:hAnsi="Times New Roman" w:eastAsia="宋体" w:cs="Times New Roman"/>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b</w:t>
            </w:r>
            <w:r>
              <w:rPr>
                <w:rFonts w:hint="eastAsia" w:ascii="宋体" w:hAnsi="宋体" w:eastAsia="宋体" w:cs="宋体"/>
                <w:i w:val="0"/>
                <w:iCs w:val="0"/>
                <w:color w:val="000000"/>
                <w:kern w:val="0"/>
                <w:sz w:val="24"/>
                <w:szCs w:val="24"/>
                <w:u w:val="none"/>
                <w:lang w:val="en-US" w:eastAsia="zh-CN" w:bidi="ar"/>
              </w:rPr>
              <w:t>）研究眼动数据、EEG和ECG等信号针对认知负荷及困意的特征数据提取；</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c</w:t>
            </w:r>
            <w:r>
              <w:rPr>
                <w:rFonts w:hint="eastAsia" w:ascii="宋体" w:hAnsi="宋体" w:eastAsia="宋体" w:cs="宋体"/>
                <w:i w:val="0"/>
                <w:iCs w:val="0"/>
                <w:color w:val="000000"/>
                <w:kern w:val="0"/>
                <w:sz w:val="24"/>
                <w:szCs w:val="24"/>
                <w:u w:val="none"/>
                <w:lang w:val="en-US" w:eastAsia="zh-CN" w:bidi="ar"/>
              </w:rPr>
              <w:t>）研究基于眼动交互性分析结果之间的相关性分析。</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2. </w:t>
            </w:r>
            <w:r>
              <w:rPr>
                <w:rFonts w:hint="eastAsia" w:ascii="宋体" w:hAnsi="宋体" w:eastAsia="宋体" w:cs="宋体"/>
                <w:i w:val="0"/>
                <w:iCs w:val="0"/>
                <w:color w:val="000000"/>
                <w:kern w:val="0"/>
                <w:sz w:val="24"/>
                <w:szCs w:val="24"/>
                <w:u w:val="none"/>
                <w:lang w:val="en-US" w:eastAsia="zh-CN" w:bidi="ar"/>
              </w:rPr>
              <w:t>在《中国汽车》期刊上发表</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篇论文。</w:t>
            </w:r>
          </w:p>
        </w:tc>
        <w:tc>
          <w:tcPr>
            <w:tcW w:w="352" w:type="pct"/>
            <w:shd w:val="clear" w:color="auto" w:fill="auto"/>
            <w:vAlign w:val="center"/>
          </w:tcPr>
          <w:p>
            <w:pPr>
              <w:keepNext w:val="0"/>
              <w:keepLines w:val="0"/>
              <w:widowControl/>
              <w:suppressLineNumbers w:val="0"/>
              <w:jc w:val="center"/>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 w:type="pct"/>
            <w:shd w:val="clear" w:color="auto" w:fill="auto"/>
            <w:vAlign w:val="center"/>
          </w:tcPr>
          <w:p>
            <w:pPr>
              <w:pStyle w:val="13"/>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jc w:val="both"/>
              <w:textAlignment w:val="auto"/>
              <w:rPr>
                <w:rFonts w:ascii="Times New Roman" w:hAnsi="Times New Roman" w:cs="Times New Roman"/>
                <w:sz w:val="24"/>
                <w:szCs w:val="24"/>
              </w:rPr>
            </w:pPr>
          </w:p>
        </w:tc>
        <w:tc>
          <w:tcPr>
            <w:tcW w:w="307" w:type="pct"/>
            <w:vAlign w:val="center"/>
          </w:tcPr>
          <w:p>
            <w:pPr>
              <w:keepNext w:val="0"/>
              <w:keepLines w:val="0"/>
              <w:widowControl/>
              <w:suppressLineNumbers w:val="0"/>
              <w:jc w:val="left"/>
              <w:textAlignment w:val="top"/>
              <w:rPr>
                <w:rFonts w:hint="default" w:ascii="Times New Roman" w:hAnsi="Times New Roman" w:cs="Times New Roman"/>
                <w:sz w:val="24"/>
                <w:szCs w:val="24"/>
                <w:lang w:val="en-US"/>
              </w:rPr>
            </w:pPr>
            <w:r>
              <w:rPr>
                <w:rFonts w:hint="eastAsia" w:ascii="宋体" w:hAnsi="宋体" w:eastAsia="宋体" w:cs="宋体"/>
                <w:i w:val="0"/>
                <w:iCs w:val="0"/>
                <w:color w:val="000000"/>
                <w:kern w:val="0"/>
                <w:sz w:val="24"/>
                <w:szCs w:val="24"/>
                <w:u w:val="none"/>
                <w:lang w:val="en-US" w:eastAsia="zh-CN" w:bidi="ar"/>
              </w:rPr>
              <w:t>新能源汽车</w:t>
            </w:r>
          </w:p>
        </w:tc>
        <w:tc>
          <w:tcPr>
            <w:tcW w:w="685"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动力蓄电池规格尺寸发展趋势及标准化研究</w:t>
            </w:r>
          </w:p>
        </w:tc>
        <w:tc>
          <w:tcPr>
            <w:tcW w:w="1871"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随着新能源汽车市场渗透率不断提高，用户对整车的续航里程实际需求逐步清晰，依据2023.1~2023.4纯电动乘用车销量统计显示，电量分布区间以45kWh-85kWh（400km-600km）为主，各车企对电池系统的高度要求主要分布在115mm-145 mm之间，在此范围内，电池规格尺寸的需求可以固化下来。首先，《GB/T 34013-2017电动汽车用动力蓄电池产品规格尺寸》标准发布已经超过6年时间，动力电池行业已发生巨大变化，该标准中的电池规格尺寸需要更新；其次，随着质量和体积电池能量密度的不断提高，对高体积利用率的需求日趋平衡，现存的电芯尺寸种类繁多，更新迭代快，对电池系统的售后维修考虑欠妥，甚至有些老旧电池维修无配件可换的现象时有发生；第三，主流成组方案并未解决全生命周期成本的问题，而是把更多的成本放在了回收和梯次利用阶段，随着废旧电池的回收和梯次利用需求日趋迫切，利用梯次利用的电芯尺寸和成组方案需要被重视起来，因此亟需提前规划动力蓄电池规格尺寸，以更好的指导动力电池行业的发展，同时降低动力蓄电池全生命周期的成本。</w:t>
            </w:r>
          </w:p>
        </w:tc>
        <w:tc>
          <w:tcPr>
            <w:tcW w:w="1651"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1、提供一份研究报告，包括但不限于以下内容：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1）梳理我国动力电池单体、模组、系统规格尺寸现状及发展趋势，分析规格尺寸对于动力电池产业产品设计选型、生产效率、回收利用的影响；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2）提出动力电池规格尺寸标准修订建议方案及对应支撑材料。</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在《中国汽车》期刊上发表1篇论文。</w:t>
            </w:r>
          </w:p>
        </w:tc>
        <w:tc>
          <w:tcPr>
            <w:tcW w:w="352" w:type="pct"/>
            <w:shd w:val="clear" w:color="auto" w:fill="auto"/>
            <w:vAlign w:val="center"/>
          </w:tcPr>
          <w:p>
            <w:pPr>
              <w:keepNext w:val="0"/>
              <w:keepLines w:val="0"/>
              <w:widowControl/>
              <w:suppressLineNumbers w:val="0"/>
              <w:jc w:val="center"/>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 w:type="pct"/>
            <w:shd w:val="clear" w:color="auto" w:fill="auto"/>
            <w:vAlign w:val="center"/>
          </w:tcPr>
          <w:p>
            <w:pPr>
              <w:pStyle w:val="13"/>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jc w:val="both"/>
              <w:textAlignment w:val="auto"/>
              <w:rPr>
                <w:rFonts w:ascii="Times New Roman" w:hAnsi="Times New Roman" w:cs="Times New Roman"/>
                <w:sz w:val="24"/>
                <w:szCs w:val="24"/>
              </w:rPr>
            </w:pPr>
          </w:p>
        </w:tc>
        <w:tc>
          <w:tcPr>
            <w:tcW w:w="307" w:type="pct"/>
            <w:vAlign w:val="center"/>
          </w:tcPr>
          <w:p>
            <w:pPr>
              <w:keepNext w:val="0"/>
              <w:keepLines w:val="0"/>
              <w:widowControl/>
              <w:suppressLineNumbers w:val="0"/>
              <w:jc w:val="left"/>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新能源汽车</w:t>
            </w:r>
          </w:p>
        </w:tc>
        <w:tc>
          <w:tcPr>
            <w:tcW w:w="685"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动力蓄电池电子护照及配套标准体系研究</w:t>
            </w:r>
          </w:p>
        </w:tc>
        <w:tc>
          <w:tcPr>
            <w:tcW w:w="1871" w:type="pct"/>
            <w:shd w:val="clear" w:color="auto" w:fill="auto"/>
            <w:vAlign w:val="center"/>
          </w:tcPr>
          <w:p>
            <w:pPr>
              <w:keepNext w:val="0"/>
              <w:keepLines w:val="0"/>
              <w:widowControl/>
              <w:suppressLineNumbers w:val="0"/>
              <w:jc w:val="both"/>
              <w:textAlignment w:val="center"/>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数字电池护照是欧盟电池法中（</w:t>
            </w:r>
            <w:r>
              <w:rPr>
                <w:rFonts w:hint="default" w:ascii="Times New Roman" w:hAnsi="Times New Roman" w:eastAsia="宋体" w:cs="Times New Roman"/>
                <w:i w:val="0"/>
                <w:iCs w:val="0"/>
                <w:color w:val="000000"/>
                <w:kern w:val="0"/>
                <w:sz w:val="24"/>
                <w:szCs w:val="24"/>
                <w:u w:val="none"/>
                <w:lang w:val="en-US" w:eastAsia="zh-CN" w:bidi="ar"/>
              </w:rPr>
              <w:t>2023.8.17</w:t>
            </w:r>
            <w:r>
              <w:rPr>
                <w:rFonts w:hint="eastAsia" w:ascii="宋体" w:hAnsi="宋体" w:eastAsia="宋体" w:cs="宋体"/>
                <w:i w:val="0"/>
                <w:iCs w:val="0"/>
                <w:color w:val="000000"/>
                <w:kern w:val="0"/>
                <w:sz w:val="24"/>
                <w:szCs w:val="24"/>
                <w:u w:val="none"/>
                <w:lang w:val="en-US" w:eastAsia="zh-CN" w:bidi="ar"/>
              </w:rPr>
              <w:t>已正式实施）的重要内容，并将在</w:t>
            </w:r>
            <w:r>
              <w:rPr>
                <w:rFonts w:hint="default" w:ascii="Times New Roman" w:hAnsi="Times New Roman" w:eastAsia="宋体" w:cs="Times New Roman"/>
                <w:i w:val="0"/>
                <w:iCs w:val="0"/>
                <w:color w:val="000000"/>
                <w:kern w:val="0"/>
                <w:sz w:val="24"/>
                <w:szCs w:val="24"/>
                <w:u w:val="none"/>
                <w:lang w:val="en-US" w:eastAsia="zh-CN" w:bidi="ar"/>
              </w:rPr>
              <w:t>2027</w:t>
            </w:r>
            <w:r>
              <w:rPr>
                <w:rFonts w:hint="eastAsia" w:ascii="宋体" w:hAnsi="宋体" w:eastAsia="宋体" w:cs="宋体"/>
                <w:i w:val="0"/>
                <w:iCs w:val="0"/>
                <w:color w:val="000000"/>
                <w:kern w:val="0"/>
                <w:sz w:val="24"/>
                <w:szCs w:val="24"/>
                <w:u w:val="none"/>
                <w:lang w:val="en-US" w:eastAsia="zh-CN" w:bidi="ar"/>
              </w:rPr>
              <w:t>年正式使用。电池护照的信息覆盖电池的全生命周期，并包含多个维度，不仅涵盖电池的制造商，产地，性能，组成等针对电池本身的要求，还将涉及电池制造商及其价值链</w:t>
            </w:r>
            <w:r>
              <w:rPr>
                <w:rFonts w:hint="default" w:ascii="Times New Roman" w:hAnsi="Times New Roman" w:eastAsia="宋体" w:cs="Times New Roman"/>
                <w:i w:val="0"/>
                <w:iCs w:val="0"/>
                <w:color w:val="000000"/>
                <w:kern w:val="0"/>
                <w:sz w:val="24"/>
                <w:szCs w:val="24"/>
                <w:u w:val="none"/>
                <w:lang w:val="en-US" w:eastAsia="zh-CN" w:bidi="ar"/>
              </w:rPr>
              <w:t>ESG</w:t>
            </w:r>
            <w:r>
              <w:rPr>
                <w:rFonts w:hint="eastAsia" w:ascii="宋体" w:hAnsi="宋体" w:eastAsia="宋体" w:cs="宋体"/>
                <w:i w:val="0"/>
                <w:iCs w:val="0"/>
                <w:color w:val="000000"/>
                <w:kern w:val="0"/>
                <w:sz w:val="24"/>
                <w:szCs w:val="24"/>
                <w:u w:val="none"/>
                <w:lang w:val="en-US" w:eastAsia="zh-CN" w:bidi="ar"/>
              </w:rPr>
              <w:t>相关指标的披露。</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国际上包括</w:t>
            </w:r>
            <w:r>
              <w:rPr>
                <w:rFonts w:hint="default" w:ascii="Times New Roman" w:hAnsi="Times New Roman" w:eastAsia="宋体" w:cs="Times New Roman"/>
                <w:i w:val="0"/>
                <w:iCs w:val="0"/>
                <w:color w:val="000000"/>
                <w:kern w:val="0"/>
                <w:sz w:val="24"/>
                <w:szCs w:val="24"/>
                <w:u w:val="none"/>
                <w:lang w:val="en-US" w:eastAsia="zh-CN" w:bidi="ar"/>
              </w:rPr>
              <w:t>Battery Pass(</w:t>
            </w:r>
            <w:r>
              <w:rPr>
                <w:rFonts w:hint="eastAsia" w:ascii="宋体" w:hAnsi="宋体" w:eastAsia="宋体" w:cs="宋体"/>
                <w:i w:val="0"/>
                <w:iCs w:val="0"/>
                <w:color w:val="000000"/>
                <w:kern w:val="0"/>
                <w:sz w:val="24"/>
                <w:szCs w:val="24"/>
                <w:u w:val="none"/>
                <w:lang w:val="en-US" w:eastAsia="zh-CN" w:bidi="ar"/>
              </w:rPr>
              <w:t>电池护照</w:t>
            </w:r>
            <w:r>
              <w:rPr>
                <w:rFonts w:hint="default" w:ascii="Times New Roman" w:hAnsi="Times New Roman" w:eastAsia="宋体" w:cs="Times New Roman"/>
                <w:i w:val="0"/>
                <w:iCs w:val="0"/>
                <w:color w:val="000000"/>
                <w:kern w:val="0"/>
                <w:sz w:val="24"/>
                <w:szCs w:val="24"/>
                <w:u w:val="none"/>
                <w:lang w:val="en-US" w:eastAsia="zh-CN" w:bidi="ar"/>
              </w:rPr>
              <w:t>), GBA (</w:t>
            </w:r>
            <w:r>
              <w:rPr>
                <w:rFonts w:hint="eastAsia" w:ascii="宋体" w:hAnsi="宋体" w:eastAsia="宋体" w:cs="宋体"/>
                <w:i w:val="0"/>
                <w:iCs w:val="0"/>
                <w:color w:val="000000"/>
                <w:kern w:val="0"/>
                <w:sz w:val="24"/>
                <w:szCs w:val="24"/>
                <w:u w:val="none"/>
                <w:lang w:val="en-US" w:eastAsia="zh-CN" w:bidi="ar"/>
              </w:rPr>
              <w:t>全球电池联盟</w:t>
            </w:r>
            <w:r>
              <w:rPr>
                <w:rFonts w:hint="default" w:ascii="Times New Roman" w:hAnsi="Times New Roman" w:eastAsia="宋体" w:cs="Times New Roman"/>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，以及</w:t>
            </w:r>
            <w:r>
              <w:rPr>
                <w:rFonts w:hint="default" w:ascii="Times New Roman" w:hAnsi="Times New Roman" w:eastAsia="宋体" w:cs="Times New Roman"/>
                <w:i w:val="0"/>
                <w:iCs w:val="0"/>
                <w:color w:val="000000"/>
                <w:kern w:val="0"/>
                <w:sz w:val="24"/>
                <w:szCs w:val="24"/>
                <w:u w:val="none"/>
                <w:lang w:val="en-US" w:eastAsia="zh-CN" w:bidi="ar"/>
              </w:rPr>
              <w:t>Catena-X</w:t>
            </w:r>
            <w:r>
              <w:rPr>
                <w:rFonts w:hint="eastAsia" w:ascii="宋体" w:hAnsi="宋体" w:eastAsia="宋体" w:cs="宋体"/>
                <w:i w:val="0"/>
                <w:iCs w:val="0"/>
                <w:color w:val="000000"/>
                <w:kern w:val="0"/>
                <w:sz w:val="24"/>
                <w:szCs w:val="24"/>
                <w:u w:val="none"/>
                <w:lang w:val="en-US" w:eastAsia="zh-CN" w:bidi="ar"/>
              </w:rPr>
              <w:t>等在内的联盟或组织都已开展了针对电池护照指标体系、评价方法，数据交互以及实施路径等内容的研究。相较欧洲，目前我国在电池护照领域的研究略显滞后。须尽快建立符合我国国情的电池护照框架体系，并加强国际间交流和沟通，以实现全球电池护照的流通和互认。</w:t>
            </w:r>
          </w:p>
        </w:tc>
        <w:tc>
          <w:tcPr>
            <w:tcW w:w="1651"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 xml:space="preserve">1. </w:t>
            </w:r>
            <w:r>
              <w:rPr>
                <w:rFonts w:hint="eastAsia" w:ascii="宋体" w:hAnsi="宋体" w:eastAsia="宋体" w:cs="宋体"/>
                <w:i w:val="0"/>
                <w:iCs w:val="0"/>
                <w:color w:val="000000"/>
                <w:kern w:val="0"/>
                <w:sz w:val="24"/>
                <w:szCs w:val="24"/>
                <w:u w:val="none"/>
                <w:lang w:val="en-US" w:eastAsia="zh-CN" w:bidi="ar"/>
              </w:rPr>
              <w:t>完成研究报告，包括但不限于以下内容：</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国内外欧美日等国家地区电池护照技术路线、法律法规具体规定；</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）分析国外电池护照配套标准和授权法案，分析中国电池护照实现技术路径、披露信息指标、指标核算及验证方法。</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2. </w:t>
            </w:r>
            <w:r>
              <w:rPr>
                <w:rFonts w:hint="eastAsia" w:ascii="宋体" w:hAnsi="宋体" w:eastAsia="宋体" w:cs="宋体"/>
                <w:i w:val="0"/>
                <w:iCs w:val="0"/>
                <w:color w:val="000000"/>
                <w:kern w:val="0"/>
                <w:sz w:val="24"/>
                <w:szCs w:val="24"/>
                <w:u w:val="none"/>
                <w:lang w:val="en-US" w:eastAsia="zh-CN" w:bidi="ar"/>
              </w:rPr>
              <w:t>在《中国汽车》期刊上发表</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篇论文。</w:t>
            </w:r>
          </w:p>
        </w:tc>
        <w:tc>
          <w:tcPr>
            <w:tcW w:w="352" w:type="pct"/>
            <w:shd w:val="clear" w:color="auto" w:fill="auto"/>
            <w:vAlign w:val="center"/>
          </w:tcPr>
          <w:p>
            <w:pPr>
              <w:keepNext w:val="0"/>
              <w:keepLines w:val="0"/>
              <w:widowControl/>
              <w:suppressLineNumbers w:val="0"/>
              <w:jc w:val="center"/>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 w:type="pct"/>
            <w:shd w:val="clear" w:color="auto" w:fill="auto"/>
            <w:vAlign w:val="center"/>
          </w:tcPr>
          <w:p>
            <w:pPr>
              <w:pStyle w:val="13"/>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jc w:val="both"/>
              <w:textAlignment w:val="auto"/>
              <w:rPr>
                <w:rFonts w:ascii="Times New Roman" w:hAnsi="Times New Roman" w:cs="Times New Roman"/>
                <w:sz w:val="24"/>
                <w:szCs w:val="24"/>
              </w:rPr>
            </w:pPr>
          </w:p>
        </w:tc>
        <w:tc>
          <w:tcPr>
            <w:tcW w:w="307" w:type="pct"/>
            <w:vAlign w:val="center"/>
          </w:tcPr>
          <w:p>
            <w:pPr>
              <w:keepNext w:val="0"/>
              <w:keepLines w:val="0"/>
              <w:widowControl/>
              <w:suppressLineNumbers w:val="0"/>
              <w:jc w:val="left"/>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新能源汽车</w:t>
            </w:r>
          </w:p>
        </w:tc>
        <w:tc>
          <w:tcPr>
            <w:tcW w:w="685"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电动汽车兆瓦级充电连接装置产品方案研究</w:t>
            </w:r>
          </w:p>
        </w:tc>
        <w:tc>
          <w:tcPr>
            <w:tcW w:w="1871"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随着重型纯电动商用车车载电量的持续增加，以及动力蓄电池充电倍率的不断提升，满足未来重型商用纯电动汽车充电需求的充电功率已达到兆瓦级。课题研究兆瓦级充电连接装置的技术和产品方案，核心目标是提出满足中国产业发展和市场需求的兆瓦级充电接口型式，通过行业专家论证后，完成兆瓦级充电接口样机生产，该样机能满足试验室部件测试的需求，与充电电缆、车内电缆连接后，组成充电连接装置进行电流承载试验，测试结果应达到预设目标。该兆瓦级充电插座，应能连接我国现行的充电基础设施。</w:t>
            </w:r>
          </w:p>
        </w:tc>
        <w:tc>
          <w:tcPr>
            <w:tcW w:w="1651"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、完成兆瓦级充电接口界面设计，进行行业专家论证，经优化后，形成我国兆瓦级充电接口界面推荐方案。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2、完成兆瓦级充电接口样机制作，采用快速成型或其他技术制作充电接口样机，可满足相关评估和测试功能需求。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3、基于样机完成充电载流能力测试，连接相关部件后，组成测试样件，能支撑1兆瓦以上的充电电流。</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、编制研究报告，内含设计过程、工程图样、测试报告等研究内容。</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、在《中国汽车》期刊上发表</w:t>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篇论文。</w:t>
            </w:r>
          </w:p>
        </w:tc>
        <w:tc>
          <w:tcPr>
            <w:tcW w:w="352" w:type="pct"/>
            <w:shd w:val="clear" w:color="auto" w:fill="auto"/>
            <w:vAlign w:val="center"/>
          </w:tcPr>
          <w:p>
            <w:pPr>
              <w:keepNext w:val="0"/>
              <w:keepLines w:val="0"/>
              <w:widowControl/>
              <w:suppressLineNumbers w:val="0"/>
              <w:jc w:val="center"/>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3" w:hRule="atLeast"/>
          <w:jc w:val="center"/>
        </w:trPr>
        <w:tc>
          <w:tcPr>
            <w:tcW w:w="131" w:type="pct"/>
            <w:shd w:val="clear" w:color="auto" w:fill="auto"/>
            <w:vAlign w:val="center"/>
          </w:tcPr>
          <w:p>
            <w:pPr>
              <w:pStyle w:val="13"/>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jc w:val="both"/>
              <w:textAlignment w:val="auto"/>
              <w:rPr>
                <w:rFonts w:ascii="Times New Roman" w:hAnsi="Times New Roman" w:cs="Times New Roman"/>
                <w:sz w:val="24"/>
                <w:szCs w:val="24"/>
              </w:rPr>
            </w:pPr>
          </w:p>
        </w:tc>
        <w:tc>
          <w:tcPr>
            <w:tcW w:w="307" w:type="pct"/>
            <w:vAlign w:val="center"/>
          </w:tcPr>
          <w:p>
            <w:pPr>
              <w:keepNext w:val="0"/>
              <w:keepLines w:val="0"/>
              <w:widowControl/>
              <w:suppressLineNumbers w:val="0"/>
              <w:jc w:val="left"/>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车用新材料</w:t>
            </w:r>
          </w:p>
        </w:tc>
        <w:tc>
          <w:tcPr>
            <w:tcW w:w="685"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轻量化电池包壳体防火、耐烧蚀性能检测方法研究</w:t>
            </w:r>
          </w:p>
        </w:tc>
        <w:tc>
          <w:tcPr>
            <w:tcW w:w="1871"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动力电池是新能源汽车的核心部件，关注整包热失控安全性的同时，为防止电池包发生热失控过程中的火焰外溢，更应该关注组成部件或者组成材料在电池包热失控过程中的耐烧蚀性，尤其是电池包壳体，是电芯失控时的最后一道防线，合理且可靠的检测方法和标准都对新能源行业的发展至关重要。</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目前各企业电池包设计主要参考</w:t>
            </w:r>
            <w:r>
              <w:rPr>
                <w:rFonts w:hint="default" w:ascii="Times New Roman" w:hAnsi="Times New Roman" w:eastAsia="宋体" w:cs="Times New Roman"/>
                <w:i w:val="0"/>
                <w:iCs w:val="0"/>
                <w:color w:val="000000"/>
                <w:kern w:val="0"/>
                <w:sz w:val="24"/>
                <w:szCs w:val="24"/>
                <w:u w:val="none"/>
                <w:lang w:val="en-US" w:eastAsia="zh-CN" w:bidi="ar"/>
              </w:rPr>
              <w:t>QC/T</w:t>
            </w:r>
            <w:r>
              <w:rPr>
                <w:rFonts w:hint="eastAsia" w:ascii="Times New Roman" w:hAnsi="Times New Roman" w:eastAsia="宋体" w:cs="Times New Roman"/>
                <w:i w:val="0"/>
                <w:iCs w:val="0"/>
                <w:color w:val="000000"/>
                <w:kern w:val="0"/>
                <w:sz w:val="24"/>
                <w:szCs w:val="24"/>
                <w:u w:val="non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t>989-2014</w:t>
            </w:r>
            <w:r>
              <w:rPr>
                <w:rFonts w:hint="eastAsia" w:ascii="宋体" w:hAnsi="宋体" w:eastAsia="宋体" w:cs="宋体"/>
                <w:i w:val="0"/>
                <w:iCs w:val="0"/>
                <w:color w:val="000000"/>
                <w:kern w:val="0"/>
                <w:sz w:val="24"/>
                <w:szCs w:val="24"/>
                <w:u w:val="none"/>
                <w:lang w:val="en-US" w:eastAsia="zh-CN" w:bidi="ar"/>
              </w:rPr>
              <w:t>《电动汽车用动力蓄电池箱通用要求》、</w:t>
            </w:r>
            <w:r>
              <w:rPr>
                <w:rFonts w:hint="default" w:ascii="Times New Roman" w:hAnsi="Times New Roman" w:eastAsia="宋体" w:cs="Times New Roman"/>
                <w:i w:val="0"/>
                <w:iCs w:val="0"/>
                <w:color w:val="000000"/>
                <w:kern w:val="0"/>
                <w:sz w:val="24"/>
                <w:szCs w:val="24"/>
                <w:u w:val="none"/>
                <w:lang w:val="en-US" w:eastAsia="zh-CN" w:bidi="ar"/>
              </w:rPr>
              <w:t>GB 38031-2020</w:t>
            </w:r>
            <w:r>
              <w:rPr>
                <w:rFonts w:hint="eastAsia" w:ascii="宋体" w:hAnsi="宋体" w:eastAsia="宋体" w:cs="宋体"/>
                <w:i w:val="0"/>
                <w:iCs w:val="0"/>
                <w:color w:val="000000"/>
                <w:kern w:val="0"/>
                <w:sz w:val="24"/>
                <w:szCs w:val="24"/>
                <w:u w:val="none"/>
                <w:lang w:val="en-US" w:eastAsia="zh-CN" w:bidi="ar"/>
              </w:rPr>
              <w:t>《电动汽车用动力蓄电池安全要求》制定整包和材料的防火标准。其中</w:t>
            </w:r>
            <w:r>
              <w:rPr>
                <w:rFonts w:hint="default" w:ascii="Times New Roman" w:hAnsi="Times New Roman" w:eastAsia="宋体" w:cs="Times New Roman"/>
                <w:i w:val="0"/>
                <w:iCs w:val="0"/>
                <w:color w:val="000000"/>
                <w:kern w:val="0"/>
                <w:sz w:val="24"/>
                <w:szCs w:val="24"/>
                <w:u w:val="none"/>
                <w:lang w:val="en-US" w:eastAsia="zh-CN" w:bidi="ar"/>
              </w:rPr>
              <w:t>QC/T</w:t>
            </w:r>
            <w:r>
              <w:rPr>
                <w:rFonts w:hint="eastAsia" w:ascii="Times New Roman" w:hAnsi="Times New Roman" w:eastAsia="宋体" w:cs="Times New Roman"/>
                <w:i w:val="0"/>
                <w:iCs w:val="0"/>
                <w:color w:val="000000"/>
                <w:kern w:val="0"/>
                <w:sz w:val="24"/>
                <w:szCs w:val="24"/>
                <w:u w:val="none"/>
                <w:lang w:val="en-US" w:eastAsia="zh-CN" w:bidi="ar"/>
              </w:rPr>
              <w:t xml:space="preserve"> </w:t>
            </w:r>
            <w:r>
              <w:rPr>
                <w:rFonts w:hint="default" w:ascii="Times New Roman" w:hAnsi="Times New Roman" w:eastAsia="宋体" w:cs="Times New Roman"/>
                <w:i w:val="0"/>
                <w:iCs w:val="0"/>
                <w:color w:val="000000"/>
                <w:kern w:val="0"/>
                <w:sz w:val="24"/>
                <w:szCs w:val="24"/>
                <w:u w:val="none"/>
                <w:lang w:val="en-US" w:eastAsia="zh-CN" w:bidi="ar"/>
              </w:rPr>
              <w:t>989</w:t>
            </w:r>
            <w:r>
              <w:rPr>
                <w:rFonts w:hint="eastAsia" w:ascii="宋体" w:hAnsi="宋体" w:eastAsia="宋体" w:cs="宋体"/>
                <w:i w:val="0"/>
                <w:iCs w:val="0"/>
                <w:color w:val="000000"/>
                <w:kern w:val="0"/>
                <w:sz w:val="24"/>
                <w:szCs w:val="24"/>
                <w:u w:val="none"/>
                <w:lang w:val="en-US" w:eastAsia="zh-CN" w:bidi="ar"/>
              </w:rPr>
              <w:t>只要求了非金属材料的阻燃性能要满足</w:t>
            </w:r>
            <w:r>
              <w:rPr>
                <w:rFonts w:hint="default" w:ascii="Times New Roman" w:hAnsi="Times New Roman" w:eastAsia="宋体" w:cs="Times New Roman"/>
                <w:i w:val="0"/>
                <w:iCs w:val="0"/>
                <w:color w:val="000000"/>
                <w:kern w:val="0"/>
                <w:sz w:val="24"/>
                <w:szCs w:val="24"/>
                <w:u w:val="none"/>
                <w:lang w:val="en-US" w:eastAsia="zh-CN" w:bidi="ar"/>
              </w:rPr>
              <w:t>UL-94V0</w:t>
            </w: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GB 38031</w:t>
            </w:r>
            <w:r>
              <w:rPr>
                <w:rFonts w:hint="eastAsia" w:ascii="宋体" w:hAnsi="宋体" w:eastAsia="宋体" w:cs="宋体"/>
                <w:i w:val="0"/>
                <w:iCs w:val="0"/>
                <w:color w:val="000000"/>
                <w:kern w:val="0"/>
                <w:sz w:val="24"/>
                <w:szCs w:val="24"/>
                <w:u w:val="none"/>
                <w:lang w:val="en-US" w:eastAsia="zh-CN" w:bidi="ar"/>
              </w:rPr>
              <w:t>对电池包整体的热稳定性试验进行了规定，包括火烧和热扩散。但标准中对检测制品的厚度、涉及材料等没有明确要求。本研究针对电池包壳体材料，尤其是轻量化的新材料和新方案进行阻燃和防火测试方法的探索和研究，也为建立壳体材料的更有效的检测标准提供依据，为提高整包的防火安全性提供有利参考。</w:t>
            </w:r>
          </w:p>
        </w:tc>
        <w:tc>
          <w:tcPr>
            <w:tcW w:w="1651"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1.提供研究报告，内容包括：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1)提出轻量化电池包壳体防火、耐烧蚀性能检测模拟方法和研究数据；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2)提出满足国家标准要求的电池防火阻燃性能对电池壳体材料分解要求的参考建议；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3)提出电池轻量化技术路线建议和标准内容(或工作)建议。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2.在《中国汽车》或其他相关行业期刊上发表1篇论文。</w:t>
            </w:r>
          </w:p>
        </w:tc>
        <w:tc>
          <w:tcPr>
            <w:tcW w:w="352" w:type="pct"/>
            <w:shd w:val="clear" w:color="auto" w:fill="auto"/>
            <w:vAlign w:val="center"/>
          </w:tcPr>
          <w:p>
            <w:pPr>
              <w:keepNext w:val="0"/>
              <w:keepLines w:val="0"/>
              <w:widowControl/>
              <w:suppressLineNumbers w:val="0"/>
              <w:jc w:val="center"/>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 w:type="pct"/>
            <w:shd w:val="clear" w:color="auto" w:fill="auto"/>
            <w:vAlign w:val="center"/>
          </w:tcPr>
          <w:p>
            <w:pPr>
              <w:pStyle w:val="13"/>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jc w:val="both"/>
              <w:textAlignment w:val="auto"/>
              <w:rPr>
                <w:rFonts w:ascii="Times New Roman" w:hAnsi="Times New Roman" w:cs="Times New Roman"/>
                <w:sz w:val="24"/>
                <w:szCs w:val="24"/>
              </w:rPr>
            </w:pPr>
          </w:p>
        </w:tc>
        <w:tc>
          <w:tcPr>
            <w:tcW w:w="307" w:type="pct"/>
            <w:vAlign w:val="center"/>
          </w:tcPr>
          <w:p>
            <w:pPr>
              <w:keepNext w:val="0"/>
              <w:keepLines w:val="0"/>
              <w:widowControl/>
              <w:suppressLineNumbers w:val="0"/>
              <w:jc w:val="left"/>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灯光</w:t>
            </w:r>
          </w:p>
        </w:tc>
        <w:tc>
          <w:tcPr>
            <w:tcW w:w="685"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汽车光信号投射灯的评价指标与方法研究</w:t>
            </w:r>
          </w:p>
        </w:tc>
        <w:tc>
          <w:tcPr>
            <w:tcW w:w="1871" w:type="pct"/>
            <w:shd w:val="clear" w:color="auto" w:fill="auto"/>
            <w:vAlign w:val="center"/>
          </w:tcPr>
          <w:p>
            <w:pPr>
              <w:keepNext w:val="0"/>
              <w:keepLines w:val="0"/>
              <w:widowControl/>
              <w:suppressLineNumbers w:val="0"/>
              <w:jc w:val="both"/>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投射功能除了通过光毯形式改变车辆周围环境之外，可作为自动驾驶中的车与人交互媒介有助于提升行车安全，是灯光功能的新趋势。</w:t>
            </w:r>
            <w:r>
              <w:rPr>
                <w:rFonts w:hint="default" w:ascii="Arial" w:hAnsi="Arial" w:eastAsia="宋体" w:cs="Arial"/>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国家标准中提出了投影光信号的光学要求和启动条件，我们在实际投影灯样品主观评价和客观评价测试中，以及装车试验中，发现了诸多值得探讨的点并已展开了初步研究。研究内容与方向如下：</w:t>
            </w:r>
          </w:p>
          <w:p>
            <w:pPr>
              <w:keepNext w:val="0"/>
              <w:keepLines w:val="0"/>
              <w:widowControl/>
              <w:numPr>
                <w:ilvl w:val="0"/>
                <w:numId w:val="3"/>
              </w:numPr>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给出完整的评价要求；</w:t>
            </w:r>
            <w:r>
              <w:rPr>
                <w:rFonts w:hint="default" w:ascii="Arial" w:hAnsi="Arial" w:eastAsia="宋体" w:cs="Arial"/>
                <w:i w:val="0"/>
                <w:iCs w:val="0"/>
                <w:color w:val="000000"/>
                <w:kern w:val="0"/>
                <w:sz w:val="24"/>
                <w:szCs w:val="24"/>
                <w:u w:val="none"/>
                <w:lang w:val="en-US" w:eastAsia="zh-CN" w:bidi="ar"/>
              </w:rPr>
              <w:br w:type="textWrapping"/>
            </w:r>
            <w:r>
              <w:rPr>
                <w:rFonts w:hint="eastAsia" w:ascii="Arial" w:hAnsi="Arial" w:eastAsia="宋体" w:cs="Arial"/>
                <w:i w:val="0"/>
                <w:iCs w:val="0"/>
                <w:color w:val="000000"/>
                <w:kern w:val="0"/>
                <w:sz w:val="24"/>
                <w:szCs w:val="24"/>
                <w:u w:val="none"/>
                <w:lang w:val="en-US" w:eastAsia="zh-CN" w:bidi="ar"/>
              </w:rPr>
              <w:t>2</w:t>
            </w:r>
            <w:r>
              <w:rPr>
                <w:rFonts w:hint="default"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对比度：包括颜色与表面亮度的组合关系，拟针对不同功能颜色给出投影灯光学对比度要求。</w:t>
            </w:r>
            <w:r>
              <w:rPr>
                <w:rFonts w:hint="default" w:ascii="Arial" w:hAnsi="Arial" w:eastAsia="宋体" w:cs="Arial"/>
                <w:i w:val="0"/>
                <w:iCs w:val="0"/>
                <w:color w:val="000000"/>
                <w:kern w:val="0"/>
                <w:sz w:val="24"/>
                <w:szCs w:val="24"/>
                <w:u w:val="none"/>
                <w:lang w:val="en-US" w:eastAsia="zh-CN" w:bidi="ar"/>
              </w:rPr>
              <w:br w:type="textWrapping"/>
            </w:r>
            <w:r>
              <w:rPr>
                <w:rFonts w:hint="eastAsia" w:ascii="Arial" w:hAnsi="Arial" w:eastAsia="宋体" w:cs="Arial"/>
                <w:i w:val="0"/>
                <w:iCs w:val="0"/>
                <w:color w:val="000000"/>
                <w:kern w:val="0"/>
                <w:sz w:val="24"/>
                <w:szCs w:val="24"/>
                <w:u w:val="none"/>
                <w:lang w:val="en-US" w:eastAsia="zh-CN" w:bidi="ar"/>
              </w:rPr>
              <w:t>3</w:t>
            </w:r>
            <w:r>
              <w:rPr>
                <w:rFonts w:hint="default"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符号图案的设定：考虑到公众教育成本，筛选的符号应是公众能快速接收和理解的图案。</w:t>
            </w:r>
            <w:r>
              <w:rPr>
                <w:rFonts w:hint="default" w:ascii="Arial" w:hAnsi="Arial" w:eastAsia="宋体" w:cs="Arial"/>
                <w:i w:val="0"/>
                <w:iCs w:val="0"/>
                <w:color w:val="000000"/>
                <w:kern w:val="0"/>
                <w:sz w:val="24"/>
                <w:szCs w:val="24"/>
                <w:u w:val="none"/>
                <w:lang w:val="en-US" w:eastAsia="zh-CN" w:bidi="ar"/>
              </w:rPr>
              <w:br w:type="textWrapping"/>
            </w:r>
            <w:r>
              <w:rPr>
                <w:rFonts w:hint="eastAsia" w:ascii="Arial" w:hAnsi="Arial" w:eastAsia="宋体" w:cs="Arial"/>
                <w:i w:val="0"/>
                <w:iCs w:val="0"/>
                <w:color w:val="000000"/>
                <w:kern w:val="0"/>
                <w:sz w:val="24"/>
                <w:szCs w:val="24"/>
                <w:u w:val="none"/>
                <w:lang w:val="en-US" w:eastAsia="zh-CN" w:bidi="ar"/>
              </w:rPr>
              <w:t>4</w:t>
            </w:r>
            <w:r>
              <w:rPr>
                <w:rFonts w:hint="default" w:ascii="Arial" w:hAnsi="Arial" w:eastAsia="宋体" w:cs="Arial"/>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潮湿道路对投射光的影响：造成散光和眩光的光路分析，并展开改善对策研究。</w:t>
            </w:r>
            <w:r>
              <w:rPr>
                <w:rFonts w:hint="default" w:ascii="Arial" w:hAnsi="Arial" w:eastAsia="宋体" w:cs="Arial"/>
                <w:i w:val="0"/>
                <w:iCs w:val="0"/>
                <w:color w:val="000000"/>
                <w:kern w:val="0"/>
                <w:sz w:val="24"/>
                <w:szCs w:val="24"/>
                <w:u w:val="none"/>
                <w:lang w:val="en-US" w:eastAsia="zh-CN" w:bidi="ar"/>
              </w:rPr>
              <w:br w:type="textWrapping"/>
            </w:r>
            <w:r>
              <w:rPr>
                <w:rFonts w:hint="eastAsia" w:ascii="Arial" w:hAnsi="Arial" w:eastAsia="宋体" w:cs="Arial"/>
                <w:i w:val="0"/>
                <w:iCs w:val="0"/>
                <w:color w:val="000000"/>
                <w:kern w:val="0"/>
                <w:sz w:val="24"/>
                <w:szCs w:val="24"/>
                <w:u w:val="none"/>
                <w:lang w:val="en-US" w:eastAsia="zh-CN" w:bidi="ar"/>
              </w:rPr>
              <w:t xml:space="preserve">5. </w:t>
            </w:r>
            <w:r>
              <w:rPr>
                <w:rFonts w:hint="eastAsia" w:ascii="宋体" w:hAnsi="宋体" w:eastAsia="宋体" w:cs="宋体"/>
                <w:i w:val="0"/>
                <w:iCs w:val="0"/>
                <w:color w:val="000000"/>
                <w:kern w:val="0"/>
                <w:sz w:val="24"/>
                <w:szCs w:val="24"/>
                <w:u w:val="none"/>
                <w:lang w:val="en-US" w:eastAsia="zh-CN" w:bidi="ar"/>
              </w:rPr>
              <w:t>上述研究结果形成的结论应针对不同的技术分别予以考量。</w:t>
            </w:r>
            <w:r>
              <w:rPr>
                <w:rFonts w:hint="default" w:ascii="Arial" w:hAnsi="Arial" w:eastAsia="宋体" w:cs="Arial"/>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本课题研究基于</w:t>
            </w:r>
            <w:r>
              <w:rPr>
                <w:rFonts w:hint="default" w:ascii="Arial" w:hAnsi="Arial" w:eastAsia="宋体" w:cs="Arial"/>
                <w:i w:val="0"/>
                <w:iCs w:val="0"/>
                <w:color w:val="000000"/>
                <w:kern w:val="0"/>
                <w:sz w:val="24"/>
                <w:szCs w:val="24"/>
                <w:u w:val="none"/>
                <w:lang w:val="en-US" w:eastAsia="zh-CN" w:bidi="ar"/>
              </w:rPr>
              <w:t>BMW</w:t>
            </w:r>
            <w:r>
              <w:rPr>
                <w:rFonts w:hint="eastAsia" w:ascii="宋体" w:hAnsi="宋体" w:eastAsia="宋体" w:cs="宋体"/>
                <w:i w:val="0"/>
                <w:iCs w:val="0"/>
                <w:color w:val="000000"/>
                <w:kern w:val="0"/>
                <w:sz w:val="24"/>
                <w:szCs w:val="24"/>
                <w:u w:val="none"/>
                <w:lang w:val="en-US" w:eastAsia="zh-CN" w:bidi="ar"/>
              </w:rPr>
              <w:t>的光毯灯的项目研发，及多家国际车企的相关企业标准分析验证，在</w:t>
            </w:r>
            <w:r>
              <w:rPr>
                <w:rFonts w:hint="default" w:ascii="Arial" w:hAnsi="Arial" w:eastAsia="宋体" w:cs="Arial"/>
                <w:i w:val="0"/>
                <w:iCs w:val="0"/>
                <w:color w:val="000000"/>
                <w:kern w:val="0"/>
                <w:sz w:val="24"/>
                <w:szCs w:val="24"/>
                <w:u w:val="none"/>
                <w:lang w:val="en-US" w:eastAsia="zh-CN" w:bidi="ar"/>
              </w:rPr>
              <w:t>DMD</w:t>
            </w:r>
            <w:r>
              <w:rPr>
                <w:rFonts w:hint="eastAsia" w:ascii="宋体" w:hAnsi="宋体" w:eastAsia="宋体" w:cs="宋体"/>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t>MLA</w:t>
            </w:r>
            <w:r>
              <w:rPr>
                <w:rFonts w:hint="eastAsia" w:ascii="宋体" w:hAnsi="宋体" w:eastAsia="宋体" w:cs="宋体"/>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t>GOBO</w:t>
            </w:r>
            <w:r>
              <w:rPr>
                <w:rFonts w:hint="eastAsia" w:ascii="宋体" w:hAnsi="宋体" w:eastAsia="宋体" w:cs="宋体"/>
                <w:i w:val="0"/>
                <w:iCs w:val="0"/>
                <w:color w:val="000000"/>
                <w:kern w:val="0"/>
                <w:sz w:val="24"/>
                <w:szCs w:val="24"/>
                <w:u w:val="none"/>
                <w:lang w:val="en-US" w:eastAsia="zh-CN" w:bidi="ar"/>
              </w:rPr>
              <w:t>、</w:t>
            </w:r>
            <w:r>
              <w:rPr>
                <w:rFonts w:hint="default" w:ascii="Arial" w:hAnsi="Arial" w:eastAsia="宋体" w:cs="Arial"/>
                <w:i w:val="0"/>
                <w:iCs w:val="0"/>
                <w:color w:val="000000"/>
                <w:kern w:val="0"/>
                <w:sz w:val="24"/>
                <w:szCs w:val="24"/>
                <w:u w:val="none"/>
                <w:lang w:val="en-US" w:eastAsia="zh-CN" w:bidi="ar"/>
              </w:rPr>
              <w:t>HD</w:t>
            </w:r>
            <w:r>
              <w:rPr>
                <w:rFonts w:hint="eastAsia" w:ascii="宋体" w:hAnsi="宋体" w:eastAsia="宋体" w:cs="宋体"/>
                <w:i w:val="0"/>
                <w:iCs w:val="0"/>
                <w:color w:val="000000"/>
                <w:kern w:val="0"/>
                <w:sz w:val="24"/>
                <w:szCs w:val="24"/>
                <w:u w:val="none"/>
                <w:lang w:val="en-US" w:eastAsia="zh-CN" w:bidi="ar"/>
              </w:rPr>
              <w:t>等投射技术深耕，通过对比技术优势和成本优势，提出的可操作性的完整的评价方法。</w:t>
            </w:r>
          </w:p>
        </w:tc>
        <w:tc>
          <w:tcPr>
            <w:tcW w:w="1651"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1.提供研究指标的测试数据报告，至少包括：</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1）整车级别的报告和零部件级别报告；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2）对汽车光信号投射灯的完整评价要求；</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2.针对标准草案提出建议；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3.中期研究报告至少包括3台级整车级别测试报告；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4.在《中国汽车》发表一篇论文。</w:t>
            </w:r>
          </w:p>
        </w:tc>
        <w:tc>
          <w:tcPr>
            <w:tcW w:w="352" w:type="pct"/>
            <w:shd w:val="clear" w:color="auto" w:fill="auto"/>
            <w:vAlign w:val="center"/>
          </w:tcPr>
          <w:p>
            <w:pPr>
              <w:keepNext w:val="0"/>
              <w:keepLines w:val="0"/>
              <w:widowControl/>
              <w:suppressLineNumbers w:val="0"/>
              <w:jc w:val="center"/>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 w:type="pct"/>
            <w:shd w:val="clear" w:color="auto" w:fill="auto"/>
            <w:vAlign w:val="center"/>
          </w:tcPr>
          <w:p>
            <w:pPr>
              <w:pStyle w:val="13"/>
              <w:keepNext w:val="0"/>
              <w:keepLines w:val="0"/>
              <w:pageBreakBefore w:val="0"/>
              <w:widowControl w:val="0"/>
              <w:numPr>
                <w:ilvl w:val="0"/>
                <w:numId w:val="1"/>
              </w:numPr>
              <w:kinsoku/>
              <w:wordWrap/>
              <w:overflowPunct/>
              <w:topLinePunct w:val="0"/>
              <w:autoSpaceDE/>
              <w:autoSpaceDN/>
              <w:bidi w:val="0"/>
              <w:adjustRightInd w:val="0"/>
              <w:snapToGrid w:val="0"/>
              <w:ind w:left="0" w:leftChars="0" w:firstLine="0" w:firstLineChars="0"/>
              <w:jc w:val="both"/>
              <w:textAlignment w:val="auto"/>
              <w:rPr>
                <w:rFonts w:ascii="Times New Roman" w:hAnsi="Times New Roman" w:cs="Times New Roman"/>
                <w:sz w:val="24"/>
                <w:szCs w:val="24"/>
              </w:rPr>
            </w:pPr>
          </w:p>
        </w:tc>
        <w:tc>
          <w:tcPr>
            <w:tcW w:w="307" w:type="pct"/>
            <w:vAlign w:val="center"/>
          </w:tcPr>
          <w:p>
            <w:pPr>
              <w:keepNext w:val="0"/>
              <w:keepLines w:val="0"/>
              <w:widowControl/>
              <w:suppressLineNumbers w:val="0"/>
              <w:jc w:val="left"/>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技贸评议</w:t>
            </w:r>
          </w:p>
        </w:tc>
        <w:tc>
          <w:tcPr>
            <w:tcW w:w="685"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汽车企业参与WTO技术性贸易措施评议工作机制研究</w:t>
            </w:r>
          </w:p>
        </w:tc>
        <w:tc>
          <w:tcPr>
            <w:tcW w:w="1871" w:type="pct"/>
            <w:shd w:val="clear" w:color="auto" w:fill="auto"/>
            <w:vAlign w:val="center"/>
          </w:tcPr>
          <w:p>
            <w:pPr>
              <w:keepNext w:val="0"/>
              <w:keepLines w:val="0"/>
              <w:widowControl/>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伴随着我国汽车产业国际化进程加速，汽车产业出口进入快车道，迎来了全面拓展全球市场的历史机遇期。与此同时，在地缘政治加剧、贸易保护抬头的新国际环境下，标准、技术法规与合格评定程序作为技术性贸易壁垒（又称技术性贸易措施）对汽车产业全球化的影响愈加凸显。TBT新规频出，对企业而言应对难度较大，成为了汽车产业国际化的重大挑战与制约。</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因此，在汽车领域有组织开展TBT评议工作，对提高我国参与全球治理话语权，帮助中国汽车产业在走出去过程中规避技术性贸易壁垒，提高国际竞争力，具有重要意义。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基于上述原因，本课题将首先研究WTO/TBT协定的规则，针对TBT协定的重点内容与原则开展深入分析，同时跟踪整理汽车领域TBT国际发展的动态趋势，结合我国汽车产品出口的主要海外市场，研究分析我国出口企业目前参与</w:t>
            </w:r>
            <w:r>
              <w:rPr>
                <w:rFonts w:hint="default" w:ascii="Times New Roman" w:hAnsi="Times New Roman" w:eastAsia="宋体" w:cs="Times New Roman"/>
                <w:i w:val="0"/>
                <w:iCs w:val="0"/>
                <w:color w:val="000000"/>
                <w:kern w:val="0"/>
                <w:sz w:val="24"/>
                <w:szCs w:val="24"/>
                <w:u w:val="none"/>
                <w:lang w:val="en-US" w:eastAsia="zh-CN" w:bidi="ar"/>
              </w:rPr>
              <w:t>TBT</w:t>
            </w:r>
            <w:r>
              <w:rPr>
                <w:rFonts w:hint="eastAsia" w:ascii="宋体" w:hAnsi="宋体" w:eastAsia="宋体" w:cs="宋体"/>
                <w:i w:val="0"/>
                <w:iCs w:val="0"/>
                <w:color w:val="000000"/>
                <w:kern w:val="0"/>
                <w:sz w:val="24"/>
                <w:szCs w:val="24"/>
                <w:u w:val="none"/>
                <w:lang w:val="en-US" w:eastAsia="zh-CN" w:bidi="ar"/>
              </w:rPr>
              <w:t>评议工作的现状，重点分析企业出海面临的技术性贸易措施相关问题与挑战，在了解国内TBT管理工作体制的基础上，最终提出适合汽车行业产品出口特点的企业评议工作机制建设方案，给出企业应对技贸壁垒的工作建议，帮助提升汽车行业参与</w:t>
            </w:r>
            <w:r>
              <w:rPr>
                <w:rFonts w:hint="default" w:ascii="Times New Roman" w:hAnsi="Times New Roman" w:eastAsia="宋体" w:cs="Times New Roman"/>
                <w:i w:val="0"/>
                <w:iCs w:val="0"/>
                <w:color w:val="000000"/>
                <w:kern w:val="0"/>
                <w:sz w:val="24"/>
                <w:szCs w:val="24"/>
                <w:u w:val="none"/>
                <w:lang w:val="en-US" w:eastAsia="zh-CN" w:bidi="ar"/>
              </w:rPr>
              <w:t>TBT</w:t>
            </w:r>
            <w:r>
              <w:rPr>
                <w:rFonts w:hint="eastAsia" w:ascii="宋体" w:hAnsi="宋体" w:eastAsia="宋体" w:cs="宋体"/>
                <w:i w:val="0"/>
                <w:iCs w:val="0"/>
                <w:color w:val="000000"/>
                <w:kern w:val="0"/>
                <w:sz w:val="24"/>
                <w:szCs w:val="24"/>
                <w:u w:val="none"/>
                <w:lang w:val="en-US" w:eastAsia="zh-CN" w:bidi="ar"/>
              </w:rPr>
              <w:t>评议的整体水平。</w:t>
            </w:r>
          </w:p>
        </w:tc>
        <w:tc>
          <w:tcPr>
            <w:tcW w:w="1651" w:type="pct"/>
            <w:shd w:val="clear" w:color="auto" w:fill="auto"/>
            <w:vAlign w:val="center"/>
          </w:tcPr>
          <w:p>
            <w:pPr>
              <w:keepNext w:val="0"/>
              <w:keepLines w:val="0"/>
              <w:widowControl/>
              <w:numPr>
                <w:ilvl w:val="0"/>
                <w:numId w:val="4"/>
              </w:numPr>
              <w:suppressLineNumbers w:val="0"/>
              <w:jc w:val="both"/>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汽车企业参与</w:t>
            </w:r>
            <w:r>
              <w:rPr>
                <w:rFonts w:hint="default" w:ascii="Times New Roman" w:hAnsi="Times New Roman" w:eastAsia="宋体" w:cs="Times New Roman"/>
                <w:i w:val="0"/>
                <w:iCs w:val="0"/>
                <w:color w:val="000000"/>
                <w:kern w:val="0"/>
                <w:sz w:val="24"/>
                <w:szCs w:val="24"/>
                <w:u w:val="none"/>
                <w:lang w:val="en-US" w:eastAsia="zh-CN" w:bidi="ar"/>
              </w:rPr>
              <w:t>WTO</w:t>
            </w:r>
            <w:r>
              <w:rPr>
                <w:rFonts w:hint="eastAsia" w:ascii="宋体" w:hAnsi="宋体" w:eastAsia="宋体" w:cs="宋体"/>
                <w:i w:val="0"/>
                <w:iCs w:val="0"/>
                <w:color w:val="000000"/>
                <w:kern w:val="0"/>
                <w:sz w:val="24"/>
                <w:szCs w:val="24"/>
                <w:u w:val="none"/>
                <w:lang w:val="en-US" w:eastAsia="zh-CN" w:bidi="ar"/>
              </w:rPr>
              <w:t>技术性贸易措施评议工作机制研究》报告1份，内容包括：</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）WTO与TBT协定研究</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）国际</w:t>
            </w:r>
            <w:r>
              <w:rPr>
                <w:rFonts w:hint="default" w:ascii="Times New Roman" w:hAnsi="Times New Roman" w:eastAsia="宋体" w:cs="Times New Roman"/>
                <w:i w:val="0"/>
                <w:iCs w:val="0"/>
                <w:color w:val="000000"/>
                <w:kern w:val="0"/>
                <w:sz w:val="24"/>
                <w:szCs w:val="24"/>
                <w:u w:val="none"/>
                <w:lang w:val="en-US" w:eastAsia="zh-CN" w:bidi="ar"/>
              </w:rPr>
              <w:t>TBT</w:t>
            </w:r>
            <w:r>
              <w:rPr>
                <w:rFonts w:hint="eastAsia" w:ascii="宋体" w:hAnsi="宋体" w:eastAsia="宋体" w:cs="宋体"/>
                <w:i w:val="0"/>
                <w:iCs w:val="0"/>
                <w:color w:val="000000"/>
                <w:kern w:val="0"/>
                <w:sz w:val="24"/>
                <w:szCs w:val="24"/>
                <w:u w:val="none"/>
                <w:lang w:val="en-US" w:eastAsia="zh-CN" w:bidi="ar"/>
              </w:rPr>
              <w:t>发展趋势</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）国内</w:t>
            </w:r>
            <w:r>
              <w:rPr>
                <w:rFonts w:hint="default" w:ascii="Times New Roman" w:hAnsi="Times New Roman" w:eastAsia="宋体" w:cs="Times New Roman"/>
                <w:i w:val="0"/>
                <w:iCs w:val="0"/>
                <w:color w:val="000000"/>
                <w:kern w:val="0"/>
                <w:sz w:val="24"/>
                <w:szCs w:val="24"/>
                <w:u w:val="none"/>
                <w:lang w:val="en-US" w:eastAsia="zh-CN" w:bidi="ar"/>
              </w:rPr>
              <w:t>TBT</w:t>
            </w:r>
            <w:r>
              <w:rPr>
                <w:rFonts w:hint="eastAsia" w:ascii="宋体" w:hAnsi="宋体" w:eastAsia="宋体" w:cs="宋体"/>
                <w:i w:val="0"/>
                <w:iCs w:val="0"/>
                <w:color w:val="000000"/>
                <w:kern w:val="0"/>
                <w:sz w:val="24"/>
                <w:szCs w:val="24"/>
                <w:u w:val="none"/>
                <w:lang w:val="en-US" w:eastAsia="zh-CN" w:bidi="ar"/>
              </w:rPr>
              <w:t>管理体制</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）汽车领域</w:t>
            </w:r>
            <w:r>
              <w:rPr>
                <w:rFonts w:hint="default" w:ascii="Times New Roman" w:hAnsi="Times New Roman" w:eastAsia="宋体" w:cs="Times New Roman"/>
                <w:i w:val="0"/>
                <w:iCs w:val="0"/>
                <w:color w:val="000000"/>
                <w:kern w:val="0"/>
                <w:sz w:val="24"/>
                <w:szCs w:val="24"/>
                <w:u w:val="none"/>
                <w:lang w:val="en-US" w:eastAsia="zh-CN" w:bidi="ar"/>
              </w:rPr>
              <w:t>TBT</w:t>
            </w:r>
            <w:r>
              <w:rPr>
                <w:rFonts w:hint="eastAsia" w:ascii="宋体" w:hAnsi="宋体" w:eastAsia="宋体" w:cs="宋体"/>
                <w:i w:val="0"/>
                <w:iCs w:val="0"/>
                <w:color w:val="000000"/>
                <w:kern w:val="0"/>
                <w:sz w:val="24"/>
                <w:szCs w:val="24"/>
                <w:u w:val="none"/>
                <w:lang w:val="en-US" w:eastAsia="zh-CN" w:bidi="ar"/>
              </w:rPr>
              <w:t>工作进展</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）企业开展</w:t>
            </w:r>
            <w:r>
              <w:rPr>
                <w:rFonts w:hint="default" w:ascii="Times New Roman" w:hAnsi="Times New Roman" w:eastAsia="宋体" w:cs="Times New Roman"/>
                <w:i w:val="0"/>
                <w:iCs w:val="0"/>
                <w:color w:val="000000"/>
                <w:kern w:val="0"/>
                <w:sz w:val="24"/>
                <w:szCs w:val="24"/>
                <w:u w:val="none"/>
                <w:lang w:val="en-US" w:eastAsia="zh-CN" w:bidi="ar"/>
              </w:rPr>
              <w:t>TBT</w:t>
            </w:r>
            <w:r>
              <w:rPr>
                <w:rFonts w:hint="eastAsia" w:ascii="宋体" w:hAnsi="宋体" w:eastAsia="宋体" w:cs="宋体"/>
                <w:i w:val="0"/>
                <w:iCs w:val="0"/>
                <w:color w:val="000000"/>
                <w:kern w:val="0"/>
                <w:sz w:val="24"/>
                <w:szCs w:val="24"/>
                <w:u w:val="none"/>
                <w:lang w:val="en-US" w:eastAsia="zh-CN" w:bidi="ar"/>
              </w:rPr>
              <w:t>评议工作的困难与挑战</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）企业开展</w:t>
            </w:r>
            <w:r>
              <w:rPr>
                <w:rFonts w:hint="default" w:ascii="Times New Roman" w:hAnsi="Times New Roman" w:eastAsia="宋体" w:cs="Times New Roman"/>
                <w:i w:val="0"/>
                <w:iCs w:val="0"/>
                <w:color w:val="000000"/>
                <w:kern w:val="0"/>
                <w:sz w:val="24"/>
                <w:szCs w:val="24"/>
                <w:u w:val="none"/>
                <w:lang w:val="en-US" w:eastAsia="zh-CN" w:bidi="ar"/>
              </w:rPr>
              <w:t>TBT</w:t>
            </w:r>
            <w:r>
              <w:rPr>
                <w:rFonts w:hint="eastAsia" w:ascii="宋体" w:hAnsi="宋体" w:eastAsia="宋体" w:cs="宋体"/>
                <w:i w:val="0"/>
                <w:iCs w:val="0"/>
                <w:color w:val="000000"/>
                <w:kern w:val="0"/>
                <w:sz w:val="24"/>
                <w:szCs w:val="24"/>
                <w:u w:val="none"/>
                <w:lang w:val="en-US" w:eastAsia="zh-CN" w:bidi="ar"/>
              </w:rPr>
              <w:t>评议工作机制建设方案</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 xml:space="preserve">2. </w:t>
            </w:r>
            <w:r>
              <w:rPr>
                <w:rFonts w:hint="eastAsia" w:ascii="宋体" w:hAnsi="宋体" w:eastAsia="宋体" w:cs="宋体"/>
                <w:i w:val="0"/>
                <w:iCs w:val="0"/>
                <w:color w:val="000000"/>
                <w:kern w:val="0"/>
                <w:sz w:val="24"/>
                <w:szCs w:val="24"/>
                <w:u w:val="none"/>
                <w:lang w:val="en-US" w:eastAsia="zh-CN" w:bidi="ar"/>
              </w:rPr>
              <w:t>提供企业参与TBT评议案例及分析</w:t>
            </w:r>
            <w:r>
              <w:rPr>
                <w:rFonts w:hint="default" w:ascii="Times New Roman" w:hAnsi="Times New Roman" w:eastAsia="宋体" w:cs="Times New Roman"/>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份；</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3.发表相关论文1篇。</w:t>
            </w:r>
          </w:p>
        </w:tc>
        <w:tc>
          <w:tcPr>
            <w:tcW w:w="352" w:type="pct"/>
            <w:shd w:val="clear" w:color="auto" w:fill="auto"/>
            <w:vAlign w:val="center"/>
          </w:tcPr>
          <w:p>
            <w:pPr>
              <w:keepNext w:val="0"/>
              <w:keepLines w:val="0"/>
              <w:widowControl/>
              <w:suppressLineNumbers w:val="0"/>
              <w:jc w:val="center"/>
              <w:textAlignment w:val="top"/>
              <w:rPr>
                <w:rFonts w:ascii="Times New Roman" w:hAnsi="Times New Roman" w:cs="Times New Roman"/>
                <w:sz w:val="24"/>
                <w:szCs w:val="24"/>
              </w:rPr>
            </w:pPr>
            <w:r>
              <w:rPr>
                <w:rFonts w:hint="eastAsia" w:ascii="宋体" w:hAnsi="宋体" w:eastAsia="宋体" w:cs="宋体"/>
                <w:i w:val="0"/>
                <w:iCs w:val="0"/>
                <w:color w:val="000000"/>
                <w:kern w:val="0"/>
                <w:sz w:val="24"/>
                <w:szCs w:val="24"/>
                <w:u w:val="none"/>
                <w:lang w:val="en-US" w:eastAsia="zh-CN" w:bidi="ar"/>
              </w:rPr>
              <w:t>5</w:t>
            </w:r>
            <w:bookmarkStart w:id="0" w:name="_GoBack"/>
            <w:bookmarkEnd w:id="0"/>
          </w:p>
        </w:tc>
      </w:tr>
    </w:tbl>
    <w:p>
      <w:pPr>
        <w:jc w:val="left"/>
        <w:rPr>
          <w:rFonts w:ascii="Times New Roman" w:hAnsi="Times New Roman" w:eastAsia="楷体" w:cs="Times New Roman"/>
          <w:sz w:val="24"/>
          <w:szCs w:val="24"/>
        </w:rPr>
      </w:pPr>
    </w:p>
    <w:sectPr>
      <w:pgSz w:w="16838" w:h="11906" w:orient="landscape"/>
      <w:pgMar w:top="1531" w:right="1440" w:bottom="153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C8908"/>
    <w:multiLevelType w:val="singleLevel"/>
    <w:tmpl w:val="9DFC8908"/>
    <w:lvl w:ilvl="0" w:tentative="0">
      <w:start w:val="1"/>
      <w:numFmt w:val="decimal"/>
      <w:lvlText w:val="%1."/>
      <w:lvlJc w:val="left"/>
      <w:pPr>
        <w:ind w:left="425" w:hanging="425"/>
      </w:pPr>
      <w:rPr>
        <w:rFonts w:hint="default"/>
      </w:rPr>
    </w:lvl>
  </w:abstractNum>
  <w:abstractNum w:abstractNumId="1">
    <w:nsid w:val="EAD49D34"/>
    <w:multiLevelType w:val="singleLevel"/>
    <w:tmpl w:val="EAD49D34"/>
    <w:lvl w:ilvl="0" w:tentative="0">
      <w:start w:val="1"/>
      <w:numFmt w:val="decimal"/>
      <w:suff w:val="space"/>
      <w:lvlText w:val="%1."/>
      <w:lvlJc w:val="left"/>
    </w:lvl>
  </w:abstractNum>
  <w:abstractNum w:abstractNumId="2">
    <w:nsid w:val="4C4BFB3E"/>
    <w:multiLevelType w:val="singleLevel"/>
    <w:tmpl w:val="4C4BFB3E"/>
    <w:lvl w:ilvl="0" w:tentative="0">
      <w:start w:val="1"/>
      <w:numFmt w:val="decimal"/>
      <w:suff w:val="space"/>
      <w:lvlText w:val="%1."/>
      <w:lvlJc w:val="left"/>
    </w:lvl>
  </w:abstractNum>
  <w:abstractNum w:abstractNumId="3">
    <w:nsid w:val="62D4CF4E"/>
    <w:multiLevelType w:val="singleLevel"/>
    <w:tmpl w:val="62D4CF4E"/>
    <w:lvl w:ilvl="0" w:tentative="0">
      <w:start w:val="1"/>
      <w:numFmt w:val="decimal"/>
      <w:suff w:val="space"/>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4"/>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97"/>
    <w:rsid w:val="00002E70"/>
    <w:rsid w:val="00006497"/>
    <w:rsid w:val="000069BB"/>
    <w:rsid w:val="00010917"/>
    <w:rsid w:val="00014284"/>
    <w:rsid w:val="00014AA4"/>
    <w:rsid w:val="000269DA"/>
    <w:rsid w:val="000432D4"/>
    <w:rsid w:val="00045883"/>
    <w:rsid w:val="000562EA"/>
    <w:rsid w:val="00070937"/>
    <w:rsid w:val="00091AA4"/>
    <w:rsid w:val="000953AB"/>
    <w:rsid w:val="000A2CEE"/>
    <w:rsid w:val="000D45CF"/>
    <w:rsid w:val="000E1C05"/>
    <w:rsid w:val="000E6FE4"/>
    <w:rsid w:val="000E79B2"/>
    <w:rsid w:val="000F4BEB"/>
    <w:rsid w:val="001216EB"/>
    <w:rsid w:val="00125182"/>
    <w:rsid w:val="00126950"/>
    <w:rsid w:val="001346D1"/>
    <w:rsid w:val="001409E2"/>
    <w:rsid w:val="00140C26"/>
    <w:rsid w:val="00175E95"/>
    <w:rsid w:val="001951C2"/>
    <w:rsid w:val="001A48B5"/>
    <w:rsid w:val="001C4A12"/>
    <w:rsid w:val="001F309D"/>
    <w:rsid w:val="001F696B"/>
    <w:rsid w:val="00205248"/>
    <w:rsid w:val="00225840"/>
    <w:rsid w:val="00235068"/>
    <w:rsid w:val="00242CEE"/>
    <w:rsid w:val="00245BEB"/>
    <w:rsid w:val="002633CE"/>
    <w:rsid w:val="00280825"/>
    <w:rsid w:val="00283CD6"/>
    <w:rsid w:val="002845FD"/>
    <w:rsid w:val="00290CAF"/>
    <w:rsid w:val="00292D97"/>
    <w:rsid w:val="002A1B1A"/>
    <w:rsid w:val="002A5AA5"/>
    <w:rsid w:val="002B095B"/>
    <w:rsid w:val="002B6CEE"/>
    <w:rsid w:val="002C79C1"/>
    <w:rsid w:val="002E4034"/>
    <w:rsid w:val="00316E38"/>
    <w:rsid w:val="00325648"/>
    <w:rsid w:val="0033392E"/>
    <w:rsid w:val="00337057"/>
    <w:rsid w:val="0034203B"/>
    <w:rsid w:val="0035797B"/>
    <w:rsid w:val="00363D08"/>
    <w:rsid w:val="00370EA6"/>
    <w:rsid w:val="0037269E"/>
    <w:rsid w:val="003753A6"/>
    <w:rsid w:val="00396189"/>
    <w:rsid w:val="003A1BEB"/>
    <w:rsid w:val="003A4295"/>
    <w:rsid w:val="003A50F9"/>
    <w:rsid w:val="003A6B4E"/>
    <w:rsid w:val="003A76ED"/>
    <w:rsid w:val="003B0813"/>
    <w:rsid w:val="003C1420"/>
    <w:rsid w:val="003D0B12"/>
    <w:rsid w:val="003D7C07"/>
    <w:rsid w:val="004151F8"/>
    <w:rsid w:val="004206CE"/>
    <w:rsid w:val="0042113D"/>
    <w:rsid w:val="00422269"/>
    <w:rsid w:val="00430F6E"/>
    <w:rsid w:val="00445228"/>
    <w:rsid w:val="0045795B"/>
    <w:rsid w:val="004612C0"/>
    <w:rsid w:val="00487949"/>
    <w:rsid w:val="00491716"/>
    <w:rsid w:val="00494A77"/>
    <w:rsid w:val="00494FFB"/>
    <w:rsid w:val="004A5183"/>
    <w:rsid w:val="004C34EA"/>
    <w:rsid w:val="004D009C"/>
    <w:rsid w:val="004E6B73"/>
    <w:rsid w:val="004F3DAA"/>
    <w:rsid w:val="004F716B"/>
    <w:rsid w:val="005167AB"/>
    <w:rsid w:val="0052179D"/>
    <w:rsid w:val="00522BCA"/>
    <w:rsid w:val="0052798F"/>
    <w:rsid w:val="005401F5"/>
    <w:rsid w:val="00546C75"/>
    <w:rsid w:val="005473E8"/>
    <w:rsid w:val="00560665"/>
    <w:rsid w:val="0056268E"/>
    <w:rsid w:val="00562A22"/>
    <w:rsid w:val="00565F7C"/>
    <w:rsid w:val="00580E32"/>
    <w:rsid w:val="00581F8E"/>
    <w:rsid w:val="005913AE"/>
    <w:rsid w:val="005A0CD2"/>
    <w:rsid w:val="005B1B18"/>
    <w:rsid w:val="005B7E38"/>
    <w:rsid w:val="005B7F96"/>
    <w:rsid w:val="005C5573"/>
    <w:rsid w:val="005E777E"/>
    <w:rsid w:val="00602B90"/>
    <w:rsid w:val="00613F3F"/>
    <w:rsid w:val="006171D6"/>
    <w:rsid w:val="006207F0"/>
    <w:rsid w:val="00642108"/>
    <w:rsid w:val="006438EA"/>
    <w:rsid w:val="006463CC"/>
    <w:rsid w:val="00656145"/>
    <w:rsid w:val="00666FDC"/>
    <w:rsid w:val="006768EE"/>
    <w:rsid w:val="00683446"/>
    <w:rsid w:val="00684431"/>
    <w:rsid w:val="006919DF"/>
    <w:rsid w:val="00693865"/>
    <w:rsid w:val="006A2869"/>
    <w:rsid w:val="006A669F"/>
    <w:rsid w:val="006A77D2"/>
    <w:rsid w:val="006D2A16"/>
    <w:rsid w:val="00703E6F"/>
    <w:rsid w:val="00711654"/>
    <w:rsid w:val="0071627A"/>
    <w:rsid w:val="0074040A"/>
    <w:rsid w:val="00750AF4"/>
    <w:rsid w:val="00755F8F"/>
    <w:rsid w:val="00762712"/>
    <w:rsid w:val="0077373E"/>
    <w:rsid w:val="00790733"/>
    <w:rsid w:val="007A027D"/>
    <w:rsid w:val="007B22D4"/>
    <w:rsid w:val="007C1F7B"/>
    <w:rsid w:val="007C4ED5"/>
    <w:rsid w:val="007D45ED"/>
    <w:rsid w:val="007D4D7D"/>
    <w:rsid w:val="007D58BE"/>
    <w:rsid w:val="007D5A92"/>
    <w:rsid w:val="007D7AD3"/>
    <w:rsid w:val="007E49C2"/>
    <w:rsid w:val="007E65C8"/>
    <w:rsid w:val="007E739F"/>
    <w:rsid w:val="007F0CBF"/>
    <w:rsid w:val="007F4232"/>
    <w:rsid w:val="007F6242"/>
    <w:rsid w:val="00802857"/>
    <w:rsid w:val="00817C7C"/>
    <w:rsid w:val="00821740"/>
    <w:rsid w:val="00834576"/>
    <w:rsid w:val="00835E85"/>
    <w:rsid w:val="00841E19"/>
    <w:rsid w:val="008427E6"/>
    <w:rsid w:val="0085298A"/>
    <w:rsid w:val="0085799E"/>
    <w:rsid w:val="00873BFC"/>
    <w:rsid w:val="00873C6F"/>
    <w:rsid w:val="0087476C"/>
    <w:rsid w:val="00885B6F"/>
    <w:rsid w:val="008927AF"/>
    <w:rsid w:val="00895C8D"/>
    <w:rsid w:val="008A11AF"/>
    <w:rsid w:val="008A1B79"/>
    <w:rsid w:val="008A46D8"/>
    <w:rsid w:val="008B225D"/>
    <w:rsid w:val="008C1D38"/>
    <w:rsid w:val="008C2B2A"/>
    <w:rsid w:val="008D6089"/>
    <w:rsid w:val="008D62AD"/>
    <w:rsid w:val="008D7EB0"/>
    <w:rsid w:val="008F4B2A"/>
    <w:rsid w:val="00906789"/>
    <w:rsid w:val="00911374"/>
    <w:rsid w:val="00926FC0"/>
    <w:rsid w:val="0092798B"/>
    <w:rsid w:val="00931499"/>
    <w:rsid w:val="00935A39"/>
    <w:rsid w:val="00935FA2"/>
    <w:rsid w:val="009462CD"/>
    <w:rsid w:val="0096410E"/>
    <w:rsid w:val="00991929"/>
    <w:rsid w:val="009A41D4"/>
    <w:rsid w:val="009B3DAF"/>
    <w:rsid w:val="009B4BF2"/>
    <w:rsid w:val="009D618B"/>
    <w:rsid w:val="009D7024"/>
    <w:rsid w:val="009E6B63"/>
    <w:rsid w:val="009F48C5"/>
    <w:rsid w:val="009F50EC"/>
    <w:rsid w:val="00A022F1"/>
    <w:rsid w:val="00A03CA6"/>
    <w:rsid w:val="00A069AB"/>
    <w:rsid w:val="00A11020"/>
    <w:rsid w:val="00A134E0"/>
    <w:rsid w:val="00A22976"/>
    <w:rsid w:val="00A26DF5"/>
    <w:rsid w:val="00A26E5F"/>
    <w:rsid w:val="00A32482"/>
    <w:rsid w:val="00A402B4"/>
    <w:rsid w:val="00A67136"/>
    <w:rsid w:val="00A719AB"/>
    <w:rsid w:val="00A82607"/>
    <w:rsid w:val="00A85C40"/>
    <w:rsid w:val="00A9105B"/>
    <w:rsid w:val="00A9726F"/>
    <w:rsid w:val="00AA644F"/>
    <w:rsid w:val="00AA7501"/>
    <w:rsid w:val="00AB221F"/>
    <w:rsid w:val="00AB28FF"/>
    <w:rsid w:val="00AB5728"/>
    <w:rsid w:val="00AD09AA"/>
    <w:rsid w:val="00AD55F8"/>
    <w:rsid w:val="00B04E64"/>
    <w:rsid w:val="00B149A3"/>
    <w:rsid w:val="00B177D3"/>
    <w:rsid w:val="00B20D31"/>
    <w:rsid w:val="00B27075"/>
    <w:rsid w:val="00B32B2C"/>
    <w:rsid w:val="00B70AB7"/>
    <w:rsid w:val="00B74690"/>
    <w:rsid w:val="00B81A04"/>
    <w:rsid w:val="00B85606"/>
    <w:rsid w:val="00B87850"/>
    <w:rsid w:val="00B9099A"/>
    <w:rsid w:val="00B96698"/>
    <w:rsid w:val="00BA25C5"/>
    <w:rsid w:val="00BA5738"/>
    <w:rsid w:val="00BA6DD4"/>
    <w:rsid w:val="00BD4AA8"/>
    <w:rsid w:val="00BD5201"/>
    <w:rsid w:val="00BF4DA5"/>
    <w:rsid w:val="00BF6286"/>
    <w:rsid w:val="00C0285F"/>
    <w:rsid w:val="00C05049"/>
    <w:rsid w:val="00C14E89"/>
    <w:rsid w:val="00C16E69"/>
    <w:rsid w:val="00C34650"/>
    <w:rsid w:val="00C37056"/>
    <w:rsid w:val="00C4395B"/>
    <w:rsid w:val="00C44A78"/>
    <w:rsid w:val="00C45138"/>
    <w:rsid w:val="00C63757"/>
    <w:rsid w:val="00C639E3"/>
    <w:rsid w:val="00C66141"/>
    <w:rsid w:val="00C6774A"/>
    <w:rsid w:val="00C76A9A"/>
    <w:rsid w:val="00C90EF4"/>
    <w:rsid w:val="00CA0F1A"/>
    <w:rsid w:val="00CA7304"/>
    <w:rsid w:val="00CB42DE"/>
    <w:rsid w:val="00CB484A"/>
    <w:rsid w:val="00CC29D2"/>
    <w:rsid w:val="00CC3D6B"/>
    <w:rsid w:val="00CD7FD2"/>
    <w:rsid w:val="00CE316F"/>
    <w:rsid w:val="00CE47B8"/>
    <w:rsid w:val="00CE59CF"/>
    <w:rsid w:val="00CF1CD3"/>
    <w:rsid w:val="00CF33B7"/>
    <w:rsid w:val="00CF3CC7"/>
    <w:rsid w:val="00CF5B39"/>
    <w:rsid w:val="00CF7B1B"/>
    <w:rsid w:val="00D00FA5"/>
    <w:rsid w:val="00D0389D"/>
    <w:rsid w:val="00D03B8D"/>
    <w:rsid w:val="00D1563E"/>
    <w:rsid w:val="00D15A8B"/>
    <w:rsid w:val="00D23CFB"/>
    <w:rsid w:val="00D24A59"/>
    <w:rsid w:val="00D27386"/>
    <w:rsid w:val="00D41A19"/>
    <w:rsid w:val="00D53334"/>
    <w:rsid w:val="00D61E03"/>
    <w:rsid w:val="00D66E5F"/>
    <w:rsid w:val="00D756A1"/>
    <w:rsid w:val="00D866B9"/>
    <w:rsid w:val="00DC1813"/>
    <w:rsid w:val="00DC3750"/>
    <w:rsid w:val="00DF264A"/>
    <w:rsid w:val="00E01A0A"/>
    <w:rsid w:val="00E405E8"/>
    <w:rsid w:val="00E42A23"/>
    <w:rsid w:val="00E430F1"/>
    <w:rsid w:val="00E452A5"/>
    <w:rsid w:val="00E46B1E"/>
    <w:rsid w:val="00E46EA7"/>
    <w:rsid w:val="00E539E8"/>
    <w:rsid w:val="00E56E6C"/>
    <w:rsid w:val="00E63E0D"/>
    <w:rsid w:val="00E73BB7"/>
    <w:rsid w:val="00E80A3D"/>
    <w:rsid w:val="00E8614F"/>
    <w:rsid w:val="00E91BE5"/>
    <w:rsid w:val="00E9332C"/>
    <w:rsid w:val="00EA3531"/>
    <w:rsid w:val="00EB76EF"/>
    <w:rsid w:val="00ED14E3"/>
    <w:rsid w:val="00ED3173"/>
    <w:rsid w:val="00EE7C3E"/>
    <w:rsid w:val="00F03196"/>
    <w:rsid w:val="00F14E07"/>
    <w:rsid w:val="00F53B80"/>
    <w:rsid w:val="00F541DC"/>
    <w:rsid w:val="00F63D4F"/>
    <w:rsid w:val="00F750D4"/>
    <w:rsid w:val="00F82DE9"/>
    <w:rsid w:val="00F86DFC"/>
    <w:rsid w:val="00F87EB3"/>
    <w:rsid w:val="00F949BA"/>
    <w:rsid w:val="00F95C74"/>
    <w:rsid w:val="00FA1D07"/>
    <w:rsid w:val="00FA51A6"/>
    <w:rsid w:val="00FB448F"/>
    <w:rsid w:val="00FB5465"/>
    <w:rsid w:val="00FC6BCB"/>
    <w:rsid w:val="00FC79CB"/>
    <w:rsid w:val="00FC7DBB"/>
    <w:rsid w:val="00FE60E5"/>
    <w:rsid w:val="1C8726B7"/>
    <w:rsid w:val="201E6C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semiHidden/>
    <w:unhideWhenUsed/>
    <w:uiPriority w:val="99"/>
    <w:rPr>
      <w:sz w:val="18"/>
      <w:szCs w:val="18"/>
    </w:r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page number"/>
    <w:basedOn w:val="8"/>
    <w:qFormat/>
    <w:uiPriority w:val="0"/>
  </w:style>
  <w:style w:type="character" w:customStyle="1" w:styleId="11">
    <w:name w:val="页眉 字符"/>
    <w:basedOn w:val="8"/>
    <w:link w:val="4"/>
    <w:qFormat/>
    <w:uiPriority w:val="0"/>
    <w:rPr>
      <w:sz w:val="18"/>
      <w:szCs w:val="18"/>
    </w:rPr>
  </w:style>
  <w:style w:type="character" w:customStyle="1" w:styleId="12">
    <w:name w:val="页脚 字符"/>
    <w:basedOn w:val="8"/>
    <w:link w:val="3"/>
    <w:uiPriority w:val="99"/>
    <w:rPr>
      <w:sz w:val="18"/>
      <w:szCs w:val="18"/>
    </w:rPr>
  </w:style>
  <w:style w:type="paragraph" w:styleId="13">
    <w:name w:val="List Paragraph"/>
    <w:basedOn w:val="1"/>
    <w:qFormat/>
    <w:uiPriority w:val="34"/>
    <w:pPr>
      <w:ind w:firstLine="420" w:firstLineChars="200"/>
    </w:pPr>
  </w:style>
  <w:style w:type="character" w:customStyle="1" w:styleId="14">
    <w:name w:val="fontstyle01"/>
    <w:basedOn w:val="8"/>
    <w:qFormat/>
    <w:uiPriority w:val="0"/>
    <w:rPr>
      <w:rFonts w:hint="eastAsia" w:ascii="黑体" w:hAnsi="黑体" w:eastAsia="黑体"/>
      <w:color w:val="000000"/>
      <w:sz w:val="32"/>
      <w:szCs w:val="32"/>
    </w:rPr>
  </w:style>
  <w:style w:type="character" w:customStyle="1" w:styleId="15">
    <w:name w:val="apple-converted-space"/>
    <w:basedOn w:val="8"/>
    <w:qFormat/>
    <w:uiPriority w:val="0"/>
  </w:style>
  <w:style w:type="character" w:customStyle="1" w:styleId="16">
    <w:name w:val="批注框文本 字符"/>
    <w:basedOn w:val="8"/>
    <w:link w:val="2"/>
    <w:semiHidden/>
    <w:qFormat/>
    <w:uiPriority w:val="99"/>
    <w:rPr>
      <w:sz w:val="18"/>
      <w:szCs w:val="18"/>
    </w:rPr>
  </w:style>
  <w:style w:type="character" w:customStyle="1" w:styleId="17">
    <w:name w:val="font31"/>
    <w:basedOn w:val="8"/>
    <w:uiPriority w:val="0"/>
    <w:rPr>
      <w:rFonts w:hint="eastAsia" w:ascii="宋体" w:hAnsi="宋体" w:eastAsia="宋体" w:cs="宋体"/>
      <w:color w:val="000000"/>
      <w:sz w:val="24"/>
      <w:szCs w:val="24"/>
      <w:u w:val="none"/>
    </w:rPr>
  </w:style>
  <w:style w:type="character" w:customStyle="1" w:styleId="18">
    <w:name w:val="font61"/>
    <w:basedOn w:val="8"/>
    <w:uiPriority w:val="0"/>
    <w:rPr>
      <w:rFonts w:hint="default" w:ascii="Times New Roman" w:hAnsi="Times New Roman" w:cs="Times New Roman"/>
      <w:color w:val="000000"/>
      <w:sz w:val="24"/>
      <w:szCs w:val="24"/>
      <w:u w:val="none"/>
    </w:rPr>
  </w:style>
  <w:style w:type="character" w:customStyle="1" w:styleId="19">
    <w:name w:val="font11"/>
    <w:basedOn w:val="8"/>
    <w:uiPriority w:val="0"/>
    <w:rPr>
      <w:rFonts w:hint="eastAsia" w:ascii="宋体" w:hAnsi="宋体" w:eastAsia="宋体" w:cs="宋体"/>
      <w:color w:val="000000"/>
      <w:sz w:val="24"/>
      <w:szCs w:val="24"/>
      <w:u w:val="none"/>
    </w:rPr>
  </w:style>
  <w:style w:type="character" w:customStyle="1" w:styleId="20">
    <w:name w:val="font51"/>
    <w:basedOn w:val="8"/>
    <w:uiPriority w:val="0"/>
    <w:rPr>
      <w:rFonts w:ascii="Arial" w:hAnsi="Arial" w:cs="Arial"/>
      <w:color w:val="000000"/>
      <w:sz w:val="24"/>
      <w:szCs w:val="24"/>
      <w:u w:val="none"/>
    </w:rPr>
  </w:style>
  <w:style w:type="character" w:customStyle="1" w:styleId="21">
    <w:name w:val="font81"/>
    <w:basedOn w:val="8"/>
    <w:uiPriority w:val="0"/>
    <w:rPr>
      <w:rFonts w:hint="default" w:ascii="Times New Roman" w:hAnsi="Times New Roman" w:cs="Times New Roman"/>
      <w:color w:val="000000"/>
      <w:sz w:val="24"/>
      <w:szCs w:val="24"/>
      <w:u w:val="none"/>
    </w:rPr>
  </w:style>
  <w:style w:type="character" w:customStyle="1" w:styleId="22">
    <w:name w:val="font71"/>
    <w:basedOn w:val="8"/>
    <w:uiPriority w:val="0"/>
    <w:rPr>
      <w:rFonts w:hint="eastAsia" w:ascii="宋体" w:hAnsi="宋体" w:eastAsia="宋体" w:cs="宋体"/>
      <w:color w:val="000000"/>
      <w:sz w:val="24"/>
      <w:szCs w:val="24"/>
      <w:u w:val="none"/>
    </w:rPr>
  </w:style>
  <w:style w:type="character" w:customStyle="1" w:styleId="23">
    <w:name w:val="font21"/>
    <w:basedOn w:val="8"/>
    <w:uiPriority w:val="0"/>
    <w:rPr>
      <w:rFonts w:hint="default" w:ascii="Arial" w:hAnsi="Arial" w:cs="Arial"/>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403</Words>
  <Characters>2299</Characters>
  <Lines>19</Lines>
  <Paragraphs>5</Paragraphs>
  <TotalTime>6</TotalTime>
  <ScaleCrop>false</ScaleCrop>
  <LinksUpToDate>false</LinksUpToDate>
  <CharactersWithSpaces>2697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2018-03-12T05:51:00Z</dcterms:created>
  <dc:creator>PPPPP</dc:creator>
  <cp:lastModifiedBy>李维菁</cp:lastModifiedBy>
  <cp:lastPrinted>2020-05-18T09:29:00Z</cp:lastPrinted>
  <dcterms:modified xsi:type="dcterms:W3CDTF">2023-10-23T01:14:08Z</dcterms:modified>
  <cp:revision>255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5DBCEC6DC63E4A6AA453B256B3FF0388</vt:lpwstr>
  </property>
</Properties>
</file>